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1E03" w14:textId="77777777" w:rsidR="00D5547E" w:rsidRPr="0097088B" w:rsidRDefault="00D5547E" w:rsidP="004A6D2F">
      <w:pPr>
        <w:rPr>
          <w:rFonts w:cs="Arial"/>
        </w:rPr>
      </w:pPr>
    </w:p>
    <w:tbl>
      <w:tblPr>
        <w:tblW w:w="0" w:type="auto"/>
        <w:tblInd w:w="108" w:type="dxa"/>
        <w:tblLayout w:type="fixed"/>
        <w:tblLook w:val="04A0" w:firstRow="1" w:lastRow="0" w:firstColumn="1" w:lastColumn="0" w:noHBand="0" w:noVBand="1"/>
      </w:tblPr>
      <w:tblGrid>
        <w:gridCol w:w="2438"/>
        <w:gridCol w:w="6406"/>
      </w:tblGrid>
      <w:tr w:rsidR="00CE544A" w:rsidRPr="0097088B" w14:paraId="3AD9B30D" w14:textId="77777777" w:rsidTr="005F7F7E">
        <w:tc>
          <w:tcPr>
            <w:tcW w:w="2438" w:type="dxa"/>
            <w:shd w:val="clear" w:color="auto" w:fill="auto"/>
          </w:tcPr>
          <w:p w14:paraId="68CE1122" w14:textId="77777777" w:rsidR="00F445B1" w:rsidRPr="0097088B" w:rsidRDefault="00F445B1" w:rsidP="004A6D2F">
            <w:pPr>
              <w:rPr>
                <w:rStyle w:val="Firstpagetablebold"/>
                <w:rFonts w:cs="Arial"/>
              </w:rPr>
            </w:pPr>
            <w:r w:rsidRPr="0097088B">
              <w:rPr>
                <w:rStyle w:val="Firstpagetablebold"/>
                <w:rFonts w:cs="Arial"/>
              </w:rPr>
              <w:t>To</w:t>
            </w:r>
            <w:r w:rsidR="005C35A5" w:rsidRPr="0097088B">
              <w:rPr>
                <w:rStyle w:val="Firstpagetablebold"/>
                <w:rFonts w:cs="Arial"/>
              </w:rPr>
              <w:t>:</w:t>
            </w:r>
          </w:p>
        </w:tc>
        <w:tc>
          <w:tcPr>
            <w:tcW w:w="6406" w:type="dxa"/>
            <w:shd w:val="clear" w:color="auto" w:fill="auto"/>
          </w:tcPr>
          <w:p w14:paraId="44744075" w14:textId="77777777" w:rsidR="00F445B1" w:rsidRPr="0097088B" w:rsidRDefault="00760B4D" w:rsidP="004A6D2F">
            <w:pPr>
              <w:rPr>
                <w:rStyle w:val="Firstpagetablebold"/>
                <w:rFonts w:cs="Arial"/>
              </w:rPr>
            </w:pPr>
            <w:r w:rsidRPr="0097088B">
              <w:rPr>
                <w:rFonts w:cs="Arial"/>
                <w:b/>
                <w:bCs/>
              </w:rPr>
              <w:t>General Purposes Licensing Casework Sub Committee</w:t>
            </w:r>
          </w:p>
        </w:tc>
      </w:tr>
      <w:tr w:rsidR="00CE544A" w:rsidRPr="0097088B" w14:paraId="51440489" w14:textId="77777777" w:rsidTr="005F7F7E">
        <w:tc>
          <w:tcPr>
            <w:tcW w:w="2438" w:type="dxa"/>
            <w:shd w:val="clear" w:color="auto" w:fill="auto"/>
          </w:tcPr>
          <w:p w14:paraId="4CB6DECD" w14:textId="77777777" w:rsidR="00F445B1" w:rsidRPr="0097088B" w:rsidRDefault="00F445B1" w:rsidP="004A6D2F">
            <w:pPr>
              <w:rPr>
                <w:rStyle w:val="Firstpagetablebold"/>
                <w:rFonts w:cs="Arial"/>
              </w:rPr>
            </w:pPr>
            <w:r w:rsidRPr="0097088B">
              <w:rPr>
                <w:rStyle w:val="Firstpagetablebold"/>
                <w:rFonts w:cs="Arial"/>
              </w:rPr>
              <w:t>Dat</w:t>
            </w:r>
            <w:r w:rsidR="005C35A5" w:rsidRPr="0097088B">
              <w:rPr>
                <w:rStyle w:val="Firstpagetablebold"/>
                <w:rFonts w:cs="Arial"/>
              </w:rPr>
              <w:t>e:</w:t>
            </w:r>
          </w:p>
        </w:tc>
        <w:tc>
          <w:tcPr>
            <w:tcW w:w="6406" w:type="dxa"/>
            <w:shd w:val="clear" w:color="auto" w:fill="auto"/>
          </w:tcPr>
          <w:p w14:paraId="1E8E3996" w14:textId="3D62C6D1" w:rsidR="00F445B1" w:rsidRPr="0097088B" w:rsidRDefault="005E6C8D" w:rsidP="005D0621">
            <w:pPr>
              <w:rPr>
                <w:rFonts w:cs="Arial"/>
                <w:b/>
              </w:rPr>
            </w:pPr>
            <w:r>
              <w:rPr>
                <w:rFonts w:cs="Arial"/>
                <w:b/>
              </w:rPr>
              <w:t>22</w:t>
            </w:r>
            <w:r w:rsidR="00B8184B">
              <w:rPr>
                <w:rFonts w:cs="Arial"/>
                <w:b/>
              </w:rPr>
              <w:t xml:space="preserve"> </w:t>
            </w:r>
            <w:r w:rsidR="00E3280E">
              <w:rPr>
                <w:rFonts w:cs="Arial"/>
                <w:b/>
              </w:rPr>
              <w:t>October</w:t>
            </w:r>
            <w:r w:rsidR="00E3280E">
              <w:rPr>
                <w:rFonts w:cs="Arial"/>
                <w:b/>
              </w:rPr>
              <w:t xml:space="preserve"> </w:t>
            </w:r>
            <w:r w:rsidR="00791D0D">
              <w:rPr>
                <w:rFonts w:cs="Arial"/>
                <w:b/>
              </w:rPr>
              <w:t>202</w:t>
            </w:r>
            <w:r w:rsidR="0097304C">
              <w:rPr>
                <w:rFonts w:cs="Arial"/>
                <w:b/>
              </w:rPr>
              <w:t>4</w:t>
            </w:r>
          </w:p>
        </w:tc>
      </w:tr>
      <w:tr w:rsidR="00CE544A" w:rsidRPr="0097088B" w14:paraId="6DC6C548" w14:textId="77777777" w:rsidTr="005F7F7E">
        <w:tc>
          <w:tcPr>
            <w:tcW w:w="2438" w:type="dxa"/>
            <w:shd w:val="clear" w:color="auto" w:fill="auto"/>
          </w:tcPr>
          <w:p w14:paraId="396EDBD4" w14:textId="77777777" w:rsidR="00F445B1" w:rsidRPr="0097088B" w:rsidRDefault="00F445B1" w:rsidP="004A6D2F">
            <w:pPr>
              <w:rPr>
                <w:rStyle w:val="Firstpagetablebold"/>
                <w:rFonts w:cs="Arial"/>
              </w:rPr>
            </w:pPr>
            <w:r w:rsidRPr="0097088B">
              <w:rPr>
                <w:rStyle w:val="Firstpagetablebold"/>
                <w:rFonts w:cs="Arial"/>
              </w:rPr>
              <w:t>Report of</w:t>
            </w:r>
            <w:r w:rsidR="005C35A5" w:rsidRPr="0097088B">
              <w:rPr>
                <w:rStyle w:val="Firstpagetablebold"/>
                <w:rFonts w:cs="Arial"/>
              </w:rPr>
              <w:t>:</w:t>
            </w:r>
          </w:p>
        </w:tc>
        <w:tc>
          <w:tcPr>
            <w:tcW w:w="6406" w:type="dxa"/>
            <w:shd w:val="clear" w:color="auto" w:fill="auto"/>
          </w:tcPr>
          <w:p w14:paraId="6CF4289B" w14:textId="3D0F3141" w:rsidR="00F445B1" w:rsidRPr="0097088B" w:rsidRDefault="00760B4D" w:rsidP="004A6D2F">
            <w:pPr>
              <w:rPr>
                <w:rStyle w:val="Firstpagetablebold"/>
                <w:rFonts w:cs="Arial"/>
              </w:rPr>
            </w:pPr>
            <w:r w:rsidRPr="0097088B">
              <w:rPr>
                <w:rFonts w:cs="Arial"/>
                <w:b/>
                <w:bCs/>
              </w:rPr>
              <w:t>Head of</w:t>
            </w:r>
            <w:r w:rsidR="00ED2800">
              <w:rPr>
                <w:rFonts w:cs="Arial"/>
                <w:b/>
                <w:bCs/>
              </w:rPr>
              <w:t xml:space="preserve"> Planning &amp;</w:t>
            </w:r>
            <w:r w:rsidRPr="0097088B">
              <w:rPr>
                <w:rFonts w:cs="Arial"/>
                <w:b/>
                <w:bCs/>
              </w:rPr>
              <w:t xml:space="preserve"> Regulatory Services</w:t>
            </w:r>
          </w:p>
        </w:tc>
      </w:tr>
      <w:tr w:rsidR="00CE544A" w:rsidRPr="0097088B" w14:paraId="3308D79C" w14:textId="77777777" w:rsidTr="005F7F7E">
        <w:tc>
          <w:tcPr>
            <w:tcW w:w="2438" w:type="dxa"/>
            <w:shd w:val="clear" w:color="auto" w:fill="auto"/>
          </w:tcPr>
          <w:p w14:paraId="7D8B4879" w14:textId="77777777" w:rsidR="00F445B1" w:rsidRPr="0097088B" w:rsidRDefault="00F445B1" w:rsidP="004A6D2F">
            <w:pPr>
              <w:rPr>
                <w:rStyle w:val="Firstpagetablebold"/>
                <w:rFonts w:cs="Arial"/>
              </w:rPr>
            </w:pPr>
            <w:r w:rsidRPr="0097088B">
              <w:rPr>
                <w:rStyle w:val="Firstpagetablebold"/>
                <w:rFonts w:cs="Arial"/>
              </w:rPr>
              <w:t xml:space="preserve">Title of Report: </w:t>
            </w:r>
          </w:p>
        </w:tc>
        <w:tc>
          <w:tcPr>
            <w:tcW w:w="6406" w:type="dxa"/>
            <w:shd w:val="clear" w:color="auto" w:fill="auto"/>
          </w:tcPr>
          <w:p w14:paraId="63684AC2" w14:textId="5ECFBB28" w:rsidR="00F445B1" w:rsidRPr="0097088B" w:rsidRDefault="00760B4D" w:rsidP="000A2B88">
            <w:pPr>
              <w:rPr>
                <w:rStyle w:val="Firstpagetablebold"/>
                <w:rFonts w:cs="Arial"/>
              </w:rPr>
            </w:pPr>
            <w:r w:rsidRPr="0097088B">
              <w:rPr>
                <w:rStyle w:val="Firstpagetablebold"/>
                <w:rFonts w:cs="Arial"/>
              </w:rPr>
              <w:t>Street Trading</w:t>
            </w:r>
            <w:r w:rsidR="00E3280E">
              <w:rPr>
                <w:rStyle w:val="Firstpagetablebold"/>
                <w:rFonts w:cs="Arial"/>
              </w:rPr>
              <w:t xml:space="preserve"> variation</w:t>
            </w:r>
            <w:r w:rsidRPr="0097088B">
              <w:rPr>
                <w:rStyle w:val="Firstpagetablebold"/>
                <w:rFonts w:cs="Arial"/>
              </w:rPr>
              <w:t xml:space="preserve"> </w:t>
            </w:r>
            <w:r w:rsidR="000A2B88" w:rsidRPr="0097088B">
              <w:rPr>
                <w:rStyle w:val="Firstpagetablebold"/>
                <w:rFonts w:cs="Arial"/>
              </w:rPr>
              <w:t>a</w:t>
            </w:r>
            <w:r w:rsidR="00F815E8">
              <w:rPr>
                <w:rStyle w:val="Firstpagetablebold"/>
                <w:rFonts w:cs="Arial"/>
              </w:rPr>
              <w:t xml:space="preserve">pplication </w:t>
            </w:r>
            <w:r w:rsidR="002373E7">
              <w:rPr>
                <w:rStyle w:val="Firstpagetablebold"/>
                <w:rFonts w:cs="Arial"/>
              </w:rPr>
              <w:t xml:space="preserve">(Lucy Hedges: Full of Beans) </w:t>
            </w:r>
          </w:p>
        </w:tc>
      </w:tr>
    </w:tbl>
    <w:p w14:paraId="75443B0F" w14:textId="77777777" w:rsidR="004F20EF" w:rsidRPr="0097088B" w:rsidRDefault="004F20EF" w:rsidP="004A6D2F">
      <w:pPr>
        <w:rPr>
          <w:rFonts w:cs="Arial"/>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33"/>
        <w:gridCol w:w="1705"/>
        <w:gridCol w:w="6407"/>
      </w:tblGrid>
      <w:tr w:rsidR="00D5547E" w:rsidRPr="0097088B" w14:paraId="28426467" w14:textId="77777777" w:rsidTr="0080749A">
        <w:tc>
          <w:tcPr>
            <w:tcW w:w="8845" w:type="dxa"/>
            <w:gridSpan w:val="3"/>
            <w:tcBorders>
              <w:bottom w:val="single" w:sz="8" w:space="0" w:color="000000"/>
            </w:tcBorders>
            <w:hideMark/>
          </w:tcPr>
          <w:p w14:paraId="559AA1EA" w14:textId="77777777" w:rsidR="00D5547E" w:rsidRPr="0097088B" w:rsidRDefault="00745BF0" w:rsidP="00745BF0">
            <w:pPr>
              <w:jc w:val="center"/>
              <w:rPr>
                <w:rStyle w:val="Firstpagetablebold"/>
                <w:rFonts w:cs="Arial"/>
              </w:rPr>
            </w:pPr>
            <w:r w:rsidRPr="0097088B">
              <w:rPr>
                <w:rStyle w:val="Firstpagetablebold"/>
                <w:rFonts w:cs="Arial"/>
              </w:rPr>
              <w:t>Summary and r</w:t>
            </w:r>
            <w:r w:rsidR="00D5547E" w:rsidRPr="0097088B">
              <w:rPr>
                <w:rStyle w:val="Firstpagetablebold"/>
                <w:rFonts w:cs="Arial"/>
              </w:rPr>
              <w:t>ecommendations</w:t>
            </w:r>
          </w:p>
        </w:tc>
      </w:tr>
      <w:tr w:rsidR="00D5547E" w:rsidRPr="0097088B" w14:paraId="2CBF6183" w14:textId="77777777" w:rsidTr="0080749A">
        <w:tc>
          <w:tcPr>
            <w:tcW w:w="2438" w:type="dxa"/>
            <w:gridSpan w:val="2"/>
            <w:tcBorders>
              <w:top w:val="single" w:sz="8" w:space="0" w:color="000000"/>
              <w:left w:val="single" w:sz="8" w:space="0" w:color="000000"/>
              <w:bottom w:val="nil"/>
              <w:right w:val="nil"/>
            </w:tcBorders>
            <w:hideMark/>
          </w:tcPr>
          <w:p w14:paraId="16128775" w14:textId="77777777" w:rsidR="00D5547E" w:rsidRPr="0097088B" w:rsidRDefault="00D5547E">
            <w:pPr>
              <w:rPr>
                <w:rStyle w:val="Firstpagetablebold"/>
                <w:rFonts w:cs="Arial"/>
              </w:rPr>
            </w:pPr>
            <w:r w:rsidRPr="0097088B">
              <w:rPr>
                <w:rStyle w:val="Firstpagetablebold"/>
                <w:rFonts w:cs="Arial"/>
              </w:rPr>
              <w:t>Purpose of report:</w:t>
            </w:r>
          </w:p>
        </w:tc>
        <w:tc>
          <w:tcPr>
            <w:tcW w:w="6407" w:type="dxa"/>
            <w:tcBorders>
              <w:top w:val="single" w:sz="8" w:space="0" w:color="000000"/>
              <w:left w:val="nil"/>
              <w:bottom w:val="nil"/>
              <w:right w:val="single" w:sz="8" w:space="0" w:color="000000"/>
            </w:tcBorders>
            <w:hideMark/>
          </w:tcPr>
          <w:p w14:paraId="5FE34448" w14:textId="1D62E573" w:rsidR="00D5547E" w:rsidRPr="0097088B" w:rsidRDefault="00171809" w:rsidP="0070729A">
            <w:pPr>
              <w:rPr>
                <w:rFonts w:cs="Arial"/>
              </w:rPr>
            </w:pPr>
            <w:r w:rsidRPr="0097088B">
              <w:rPr>
                <w:rFonts w:cs="Arial"/>
              </w:rPr>
              <w:t>T</w:t>
            </w:r>
            <w:r w:rsidR="008379A2">
              <w:rPr>
                <w:rFonts w:cs="Arial"/>
              </w:rPr>
              <w:t xml:space="preserve">o </w:t>
            </w:r>
            <w:r w:rsidR="00F815E8">
              <w:rPr>
                <w:rFonts w:cs="Arial"/>
              </w:rPr>
              <w:t xml:space="preserve">inform the </w:t>
            </w:r>
            <w:r w:rsidR="005E6C8D">
              <w:rPr>
                <w:rFonts w:cs="Arial"/>
              </w:rPr>
              <w:t>variation</w:t>
            </w:r>
            <w:r w:rsidR="00F815E8">
              <w:rPr>
                <w:rFonts w:cs="Arial"/>
              </w:rPr>
              <w:t xml:space="preserve"> of </w:t>
            </w:r>
            <w:r w:rsidR="0061292C">
              <w:rPr>
                <w:rFonts w:cs="Arial"/>
              </w:rPr>
              <w:t xml:space="preserve">a </w:t>
            </w:r>
            <w:r w:rsidR="00F815E8">
              <w:rPr>
                <w:rFonts w:cs="Arial"/>
              </w:rPr>
              <w:t xml:space="preserve">street trading </w:t>
            </w:r>
            <w:r w:rsidR="005E6C8D">
              <w:rPr>
                <w:rFonts w:cs="Arial"/>
              </w:rPr>
              <w:t>consent</w:t>
            </w:r>
            <w:r w:rsidR="0061292C">
              <w:rPr>
                <w:rFonts w:cs="Arial"/>
              </w:rPr>
              <w:t xml:space="preserve"> </w:t>
            </w:r>
          </w:p>
        </w:tc>
      </w:tr>
      <w:tr w:rsidR="0080749A" w:rsidRPr="0097088B" w14:paraId="561D96BE" w14:textId="77777777" w:rsidTr="0080749A">
        <w:tc>
          <w:tcPr>
            <w:tcW w:w="2438" w:type="dxa"/>
            <w:gridSpan w:val="2"/>
            <w:tcBorders>
              <w:top w:val="nil"/>
              <w:left w:val="single" w:sz="8" w:space="0" w:color="000000"/>
              <w:bottom w:val="nil"/>
              <w:right w:val="nil"/>
            </w:tcBorders>
          </w:tcPr>
          <w:p w14:paraId="450CB2E2" w14:textId="77777777" w:rsidR="0080749A" w:rsidRPr="0097088B" w:rsidRDefault="0080749A">
            <w:pPr>
              <w:rPr>
                <w:rStyle w:val="Firstpagetablebold"/>
                <w:rFonts w:cs="Arial"/>
              </w:rPr>
            </w:pPr>
            <w:r w:rsidRPr="0097088B">
              <w:rPr>
                <w:rStyle w:val="Firstpagetablebold"/>
                <w:rFonts w:cs="Arial"/>
              </w:rPr>
              <w:t>Corporate Priority:</w:t>
            </w:r>
          </w:p>
        </w:tc>
        <w:tc>
          <w:tcPr>
            <w:tcW w:w="6407" w:type="dxa"/>
            <w:tcBorders>
              <w:top w:val="nil"/>
              <w:left w:val="nil"/>
              <w:bottom w:val="nil"/>
              <w:right w:val="single" w:sz="8" w:space="0" w:color="000000"/>
            </w:tcBorders>
          </w:tcPr>
          <w:p w14:paraId="13376F35" w14:textId="77777777" w:rsidR="00760B4D" w:rsidRPr="0097088B" w:rsidRDefault="00760B4D" w:rsidP="00760B4D">
            <w:pPr>
              <w:rPr>
                <w:rFonts w:cs="Arial"/>
              </w:rPr>
            </w:pPr>
            <w:r w:rsidRPr="0097088B">
              <w:rPr>
                <w:rFonts w:cs="Arial"/>
              </w:rPr>
              <w:t>Enable an inclusive economy</w:t>
            </w:r>
          </w:p>
          <w:p w14:paraId="50B1F555" w14:textId="77777777" w:rsidR="0080749A" w:rsidRPr="0097088B" w:rsidRDefault="00760B4D" w:rsidP="00760B4D">
            <w:pPr>
              <w:rPr>
                <w:rFonts w:cs="Arial"/>
              </w:rPr>
            </w:pPr>
            <w:r w:rsidRPr="0097088B">
              <w:rPr>
                <w:rFonts w:cs="Arial"/>
              </w:rPr>
              <w:t>Support thriving communities</w:t>
            </w:r>
          </w:p>
        </w:tc>
      </w:tr>
      <w:tr w:rsidR="00D5547E" w:rsidRPr="0097088B" w14:paraId="2510DF8F" w14:textId="77777777" w:rsidTr="0080749A">
        <w:tc>
          <w:tcPr>
            <w:tcW w:w="2438" w:type="dxa"/>
            <w:gridSpan w:val="2"/>
            <w:tcBorders>
              <w:top w:val="nil"/>
              <w:left w:val="single" w:sz="8" w:space="0" w:color="000000"/>
              <w:bottom w:val="nil"/>
              <w:right w:val="nil"/>
            </w:tcBorders>
            <w:hideMark/>
          </w:tcPr>
          <w:p w14:paraId="482CE132" w14:textId="77777777" w:rsidR="00D5547E" w:rsidRPr="0097088B" w:rsidRDefault="00D5547E">
            <w:pPr>
              <w:rPr>
                <w:rStyle w:val="Firstpagetablebold"/>
                <w:rFonts w:cs="Arial"/>
              </w:rPr>
            </w:pPr>
            <w:r w:rsidRPr="0097088B">
              <w:rPr>
                <w:rStyle w:val="Firstpagetablebold"/>
                <w:rFonts w:cs="Arial"/>
              </w:rPr>
              <w:t>Policy Framework:</w:t>
            </w:r>
          </w:p>
        </w:tc>
        <w:tc>
          <w:tcPr>
            <w:tcW w:w="6407" w:type="dxa"/>
            <w:tcBorders>
              <w:top w:val="nil"/>
              <w:left w:val="nil"/>
              <w:bottom w:val="nil"/>
              <w:right w:val="single" w:sz="8" w:space="0" w:color="000000"/>
            </w:tcBorders>
            <w:hideMark/>
          </w:tcPr>
          <w:p w14:paraId="23662B32" w14:textId="480EA167" w:rsidR="00EF0D59" w:rsidRDefault="00EF0D59" w:rsidP="005F7F7E">
            <w:pPr>
              <w:rPr>
                <w:rFonts w:cs="Arial"/>
              </w:rPr>
            </w:pPr>
            <w:r>
              <w:rPr>
                <w:rFonts w:cs="Arial"/>
              </w:rPr>
              <w:t>Street trading Policy 202</w:t>
            </w:r>
            <w:r w:rsidR="00B21AD8">
              <w:rPr>
                <w:rFonts w:cs="Arial"/>
              </w:rPr>
              <w:t>4</w:t>
            </w:r>
          </w:p>
          <w:p w14:paraId="7CC823C3" w14:textId="76852E0B" w:rsidR="00D5547E" w:rsidRPr="0097088B" w:rsidRDefault="008379A2" w:rsidP="005F7F7E">
            <w:pPr>
              <w:rPr>
                <w:rFonts w:cs="Arial"/>
              </w:rPr>
            </w:pPr>
            <w:r>
              <w:rPr>
                <w:rFonts w:cs="Arial"/>
              </w:rPr>
              <w:t>Council Strategy 2020-2024</w:t>
            </w:r>
          </w:p>
        </w:tc>
      </w:tr>
      <w:tr w:rsidR="005F7F7E" w:rsidRPr="0097088B" w14:paraId="7C0E046F" w14:textId="77777777" w:rsidTr="008379A2">
        <w:trPr>
          <w:trHeight w:val="413"/>
        </w:trPr>
        <w:tc>
          <w:tcPr>
            <w:tcW w:w="8845" w:type="dxa"/>
            <w:gridSpan w:val="3"/>
            <w:tcBorders>
              <w:bottom w:val="single" w:sz="8" w:space="0" w:color="000000"/>
            </w:tcBorders>
          </w:tcPr>
          <w:p w14:paraId="135D4433" w14:textId="3CFB599A" w:rsidR="005F7F7E" w:rsidRPr="0097088B" w:rsidRDefault="005F7F7E" w:rsidP="008379A2">
            <w:pPr>
              <w:rPr>
                <w:rFonts w:cs="Arial"/>
              </w:rPr>
            </w:pPr>
            <w:r w:rsidRPr="0097088B">
              <w:rPr>
                <w:rStyle w:val="Firstpagetablebold"/>
                <w:rFonts w:cs="Arial"/>
              </w:rPr>
              <w:t>Recommendation(s):</w:t>
            </w:r>
            <w:r w:rsidR="008F22F9" w:rsidRPr="0097088B">
              <w:rPr>
                <w:rStyle w:val="Firstpagetablebold"/>
                <w:rFonts w:cs="Arial"/>
              </w:rPr>
              <w:t xml:space="preserve"> </w:t>
            </w:r>
            <w:r w:rsidRPr="0097088B">
              <w:rPr>
                <w:rStyle w:val="Firstpagetablebold"/>
                <w:rFonts w:cs="Arial"/>
                <w:b w:val="0"/>
              </w:rPr>
              <w:t xml:space="preserve">That the </w:t>
            </w:r>
            <w:r w:rsidR="008F22F9" w:rsidRPr="0097088B">
              <w:rPr>
                <w:rStyle w:val="Firstpagetablebold"/>
                <w:rFonts w:cs="Arial"/>
                <w:b w:val="0"/>
              </w:rPr>
              <w:t>General Purposes Licensing Casework Sub-</w:t>
            </w:r>
            <w:r w:rsidR="00821AAF" w:rsidRPr="0097088B">
              <w:rPr>
                <w:rStyle w:val="Firstpagetablebold"/>
                <w:rFonts w:cs="Arial"/>
                <w:b w:val="0"/>
              </w:rPr>
              <w:t>Committee</w:t>
            </w:r>
            <w:r w:rsidR="008379A2">
              <w:rPr>
                <w:rStyle w:val="Firstpagetablebold"/>
                <w:rFonts w:cs="Arial"/>
                <w:b w:val="0"/>
              </w:rPr>
              <w:t xml:space="preserve"> </w:t>
            </w:r>
            <w:r w:rsidR="0057180C">
              <w:rPr>
                <w:rStyle w:val="Firstpagetablebold"/>
                <w:rFonts w:cs="Arial"/>
                <w:b w:val="0"/>
              </w:rPr>
              <w:t xml:space="preserve">resolves to: </w:t>
            </w:r>
            <w:r w:rsidR="00171809" w:rsidRPr="0097088B">
              <w:rPr>
                <w:rStyle w:val="Firstpagetablebold"/>
                <w:rFonts w:cs="Arial"/>
                <w:b w:val="0"/>
              </w:rPr>
              <w:t xml:space="preserve"> </w:t>
            </w:r>
          </w:p>
        </w:tc>
      </w:tr>
      <w:tr w:rsidR="008379A2" w:rsidRPr="0097088B" w14:paraId="226D9FEF" w14:textId="77777777" w:rsidTr="008379A2">
        <w:trPr>
          <w:trHeight w:val="413"/>
        </w:trPr>
        <w:tc>
          <w:tcPr>
            <w:tcW w:w="733" w:type="dxa"/>
            <w:tcBorders>
              <w:bottom w:val="single" w:sz="8" w:space="0" w:color="000000"/>
              <w:right w:val="nil"/>
            </w:tcBorders>
          </w:tcPr>
          <w:p w14:paraId="60A2F799" w14:textId="27D8D571" w:rsidR="008379A2" w:rsidRPr="008379A2" w:rsidRDefault="008379A2" w:rsidP="008379A2">
            <w:pPr>
              <w:rPr>
                <w:rStyle w:val="Firstpagetablebold"/>
                <w:rFonts w:cs="Arial"/>
                <w:b w:val="0"/>
              </w:rPr>
            </w:pPr>
            <w:r w:rsidRPr="008379A2">
              <w:rPr>
                <w:rStyle w:val="Firstpagetablebold"/>
                <w:rFonts w:cs="Arial"/>
                <w:b w:val="0"/>
              </w:rPr>
              <w:t>1.</w:t>
            </w:r>
          </w:p>
        </w:tc>
        <w:tc>
          <w:tcPr>
            <w:tcW w:w="8112" w:type="dxa"/>
            <w:gridSpan w:val="2"/>
            <w:tcBorders>
              <w:left w:val="nil"/>
              <w:bottom w:val="single" w:sz="8" w:space="0" w:color="000000"/>
            </w:tcBorders>
          </w:tcPr>
          <w:p w14:paraId="7AEAF2B2" w14:textId="55329AAD" w:rsidR="008379A2" w:rsidRPr="008379A2" w:rsidRDefault="008379A2" w:rsidP="008379A2">
            <w:pPr>
              <w:rPr>
                <w:rStyle w:val="Firstpagetablebold"/>
                <w:rFonts w:cs="Arial"/>
                <w:b w:val="0"/>
              </w:rPr>
            </w:pPr>
            <w:r w:rsidRPr="008379A2">
              <w:rPr>
                <w:rStyle w:val="Firstpagetablebold"/>
                <w:rFonts w:cs="Arial"/>
              </w:rPr>
              <w:t>Determine</w:t>
            </w:r>
            <w:r>
              <w:rPr>
                <w:rStyle w:val="Firstpagetablebold"/>
                <w:rFonts w:cs="Arial"/>
                <w:b w:val="0"/>
              </w:rPr>
              <w:t xml:space="preserve"> the application, </w:t>
            </w:r>
            <w:proofErr w:type="gramStart"/>
            <w:r>
              <w:rPr>
                <w:rStyle w:val="Firstpagetablebold"/>
                <w:rFonts w:cs="Arial"/>
                <w:b w:val="0"/>
              </w:rPr>
              <w:t>taking into account</w:t>
            </w:r>
            <w:proofErr w:type="gramEnd"/>
            <w:r>
              <w:rPr>
                <w:rStyle w:val="Firstpagetablebold"/>
                <w:rFonts w:cs="Arial"/>
                <w:b w:val="0"/>
              </w:rPr>
              <w:t xml:space="preserve"> the details in this report and any representations made at this Sub-Committee meeting.</w:t>
            </w:r>
          </w:p>
        </w:tc>
      </w:tr>
    </w:tbl>
    <w:p w14:paraId="40CD0119" w14:textId="77777777" w:rsidR="00CE544A" w:rsidRPr="0097088B" w:rsidRDefault="00CE544A" w:rsidP="004A6D2F">
      <w:pPr>
        <w:rPr>
          <w:rFonts w:cs="Arial"/>
        </w:rPr>
      </w:pPr>
    </w:p>
    <w:p w14:paraId="13AFEFC8" w14:textId="77777777" w:rsidR="0040736F" w:rsidRPr="0097088B" w:rsidRDefault="00F66DCA" w:rsidP="004A6D2F">
      <w:pPr>
        <w:pStyle w:val="Heading1"/>
        <w:rPr>
          <w:rFonts w:cs="Arial"/>
        </w:rPr>
      </w:pPr>
      <w:r w:rsidRPr="0097088B">
        <w:rPr>
          <w:rFonts w:cs="Arial"/>
        </w:rPr>
        <w:t>Introduction and b</w:t>
      </w:r>
      <w:r w:rsidR="00151888" w:rsidRPr="0097088B">
        <w:rPr>
          <w:rFonts w:cs="Arial"/>
        </w:rPr>
        <w:t>ackground</w:t>
      </w:r>
      <w:r w:rsidR="00404032" w:rsidRPr="0097088B">
        <w:rPr>
          <w:rFonts w:cs="Arial"/>
        </w:rPr>
        <w:t xml:space="preserve"> </w:t>
      </w:r>
    </w:p>
    <w:p w14:paraId="5F8E7B02" w14:textId="77777777" w:rsidR="000A2B88" w:rsidRPr="0097088B" w:rsidRDefault="000A2B88" w:rsidP="000A2B88">
      <w:pPr>
        <w:pStyle w:val="ListParagraph"/>
        <w:rPr>
          <w:rFonts w:cs="Arial"/>
        </w:rPr>
      </w:pPr>
      <w:r w:rsidRPr="0097088B">
        <w:rPr>
          <w:rFonts w:cs="Arial"/>
        </w:rPr>
        <w:t>In 1986 the Council resolved that Schedule 4 to the Local Government (Miscellaneous Provisions) Act 1982 should apply to its area.  Under Schedule 4 the Council can manage street trading by designating streets as “consent streets”, “licence streets” or “prohibited streets”.  All streets within Oxford are currently designated “consent streets” and any trading requires the grant of a street trading consent.  Street trading consent may be granted as the Council “thinks fit”. When exercising the power to grant and enforce consents the Sub Committee should only take into account relevant considerations; must give each applicant or consent holder a fair hearing and should give reasons for their decisions.</w:t>
      </w:r>
    </w:p>
    <w:p w14:paraId="7811F422" w14:textId="77777777" w:rsidR="000A2B88" w:rsidRDefault="000A2B88" w:rsidP="000A2B88">
      <w:pPr>
        <w:pStyle w:val="ListParagraph"/>
        <w:rPr>
          <w:rFonts w:cs="Arial"/>
        </w:rPr>
      </w:pPr>
      <w:r w:rsidRPr="0097088B">
        <w:rPr>
          <w:rFonts w:cs="Arial"/>
        </w:rPr>
        <w:t>Street trading consent is granted subject to the Council’s standard conditions. The Sub Committee may amend or attach any additional conditions to a Consent that it considers “reasonably necessary”.</w:t>
      </w:r>
    </w:p>
    <w:p w14:paraId="21F5F2EA" w14:textId="117218CB" w:rsidR="0057180C" w:rsidRDefault="0057180C" w:rsidP="00B21AD8">
      <w:pPr>
        <w:pStyle w:val="ListParagraph"/>
        <w:rPr>
          <w:rFonts w:cs="Arial"/>
        </w:rPr>
      </w:pPr>
      <w:r>
        <w:rPr>
          <w:rFonts w:cs="Arial"/>
        </w:rPr>
        <w:t>The application</w:t>
      </w:r>
      <w:r w:rsidR="005E5AAD">
        <w:rPr>
          <w:rFonts w:cs="Arial"/>
        </w:rPr>
        <w:t xml:space="preserve"> </w:t>
      </w:r>
      <w:r w:rsidR="005E6C8D">
        <w:rPr>
          <w:rFonts w:cs="Arial"/>
        </w:rPr>
        <w:t xml:space="preserve">is to vary the street trading consent determined at a previous hearing of the committee. The minutes of the </w:t>
      </w:r>
      <w:proofErr w:type="gramStart"/>
      <w:r w:rsidR="005E6C8D">
        <w:rPr>
          <w:rFonts w:cs="Arial"/>
        </w:rPr>
        <w:t>hearing  are</w:t>
      </w:r>
      <w:proofErr w:type="gramEnd"/>
      <w:r w:rsidR="005E6C8D">
        <w:rPr>
          <w:rFonts w:cs="Arial"/>
        </w:rPr>
        <w:t xml:space="preserve"> included at appendix 1. </w:t>
      </w:r>
      <w:r w:rsidR="008127D4">
        <w:rPr>
          <w:rFonts w:cs="Arial"/>
        </w:rPr>
        <w:t>The trading location is by the terminal at the Redbridge Park and Ride.</w:t>
      </w:r>
    </w:p>
    <w:p w14:paraId="548137B2" w14:textId="21F320A8" w:rsidR="008127D4" w:rsidRDefault="008127D4" w:rsidP="00B21AD8">
      <w:pPr>
        <w:pStyle w:val="ListParagraph"/>
        <w:rPr>
          <w:rFonts w:cs="Arial"/>
        </w:rPr>
      </w:pPr>
      <w:r>
        <w:rPr>
          <w:rFonts w:cs="Arial"/>
        </w:rPr>
        <w:lastRenderedPageBreak/>
        <w:t xml:space="preserve">The application is to allow trading Monday, </w:t>
      </w:r>
      <w:proofErr w:type="gramStart"/>
      <w:r>
        <w:rPr>
          <w:rFonts w:cs="Arial"/>
        </w:rPr>
        <w:t>Thursday</w:t>
      </w:r>
      <w:proofErr w:type="gramEnd"/>
      <w:r>
        <w:rPr>
          <w:rFonts w:cs="Arial"/>
        </w:rPr>
        <w:t xml:space="preserve"> and Friday between 06.30 – 10.30. The granted days are Monday, </w:t>
      </w:r>
      <w:proofErr w:type="gramStart"/>
      <w:r>
        <w:rPr>
          <w:rFonts w:cs="Arial"/>
        </w:rPr>
        <w:t>Tuesday</w:t>
      </w:r>
      <w:proofErr w:type="gramEnd"/>
      <w:r>
        <w:rPr>
          <w:rFonts w:cs="Arial"/>
        </w:rPr>
        <w:t xml:space="preserve"> and Friday. The granted hours are 08.00 – 12.00.</w:t>
      </w:r>
    </w:p>
    <w:p w14:paraId="318841E7" w14:textId="77777777" w:rsidR="006A1F49" w:rsidRPr="0097088B" w:rsidRDefault="006A1F49" w:rsidP="006A1F49">
      <w:pPr>
        <w:pStyle w:val="ListParagraph"/>
        <w:numPr>
          <w:ilvl w:val="0"/>
          <w:numId w:val="0"/>
        </w:numPr>
        <w:ind w:left="426" w:hanging="426"/>
        <w:rPr>
          <w:rFonts w:cs="Arial"/>
          <w:b/>
        </w:rPr>
      </w:pPr>
      <w:r w:rsidRPr="0097088B">
        <w:rPr>
          <w:rFonts w:cs="Arial"/>
          <w:b/>
        </w:rPr>
        <w:t>Determination of Applications for</w:t>
      </w:r>
      <w:r w:rsidR="00C57F24" w:rsidRPr="0097088B">
        <w:rPr>
          <w:rFonts w:cs="Arial"/>
          <w:b/>
        </w:rPr>
        <w:t xml:space="preserve"> </w:t>
      </w:r>
      <w:r w:rsidRPr="0097088B">
        <w:rPr>
          <w:rFonts w:cs="Arial"/>
          <w:b/>
        </w:rPr>
        <w:t>Consent</w:t>
      </w:r>
    </w:p>
    <w:p w14:paraId="53551368" w14:textId="77777777" w:rsidR="00DE553B" w:rsidRPr="0097088B" w:rsidRDefault="00DE553B" w:rsidP="00C57F24">
      <w:pPr>
        <w:pStyle w:val="ListParagraph"/>
        <w:rPr>
          <w:rFonts w:cs="Arial"/>
        </w:rPr>
      </w:pPr>
      <w:r w:rsidRPr="0097088B">
        <w:rPr>
          <w:rFonts w:cs="Arial"/>
        </w:rPr>
        <w:t>Prior to a Consent being granted or refused, the application is subject</w:t>
      </w:r>
      <w:r w:rsidR="000A2B88" w:rsidRPr="0097088B">
        <w:rPr>
          <w:rFonts w:cs="Arial"/>
        </w:rPr>
        <w:t xml:space="preserve"> to a </w:t>
      </w:r>
      <w:proofErr w:type="gramStart"/>
      <w:r w:rsidR="000A2B88" w:rsidRPr="0097088B">
        <w:rPr>
          <w:rFonts w:cs="Arial"/>
        </w:rPr>
        <w:t>14 day</w:t>
      </w:r>
      <w:proofErr w:type="gramEnd"/>
      <w:r w:rsidR="000A2B88" w:rsidRPr="0097088B">
        <w:rPr>
          <w:rFonts w:cs="Arial"/>
        </w:rPr>
        <w:t xml:space="preserve"> c</w:t>
      </w:r>
      <w:r w:rsidRPr="0097088B">
        <w:rPr>
          <w:rFonts w:cs="Arial"/>
        </w:rPr>
        <w:t>onsultation period with stakeholders being given the opportunity to share observations and concerns. Our stakeholders include Oxfordshire County Council Highways Authority, Thames Valley Police, Oxford City Council Planning Service, Oxford City Council Environmental Health Services (Commercial Pollution and Food Safety) and Ward Councillors. All comments received are taken into consideration when determining the grant of a Consent.</w:t>
      </w:r>
    </w:p>
    <w:p w14:paraId="67968FBD" w14:textId="205C2C29" w:rsidR="00D03E61" w:rsidRPr="00A17BB1" w:rsidRDefault="00C145C1" w:rsidP="00D03E61">
      <w:pPr>
        <w:pStyle w:val="ListParagraph"/>
        <w:rPr>
          <w:rFonts w:cs="Arial"/>
        </w:rPr>
      </w:pPr>
      <w:r w:rsidRPr="0097088B">
        <w:rPr>
          <w:rFonts w:cs="Arial"/>
        </w:rPr>
        <w:t xml:space="preserve">The </w:t>
      </w:r>
      <w:r w:rsidR="00B70A11">
        <w:rPr>
          <w:rFonts w:cs="Arial"/>
        </w:rPr>
        <w:t xml:space="preserve">Street Trading </w:t>
      </w:r>
      <w:r w:rsidRPr="0097088B">
        <w:rPr>
          <w:rFonts w:cs="Arial"/>
        </w:rPr>
        <w:t>Policy</w:t>
      </w:r>
      <w:r w:rsidR="004F32D0">
        <w:rPr>
          <w:rFonts w:cs="Arial"/>
        </w:rPr>
        <w:t xml:space="preserve"> 2023</w:t>
      </w:r>
      <w:r w:rsidR="00B70A11">
        <w:rPr>
          <w:rFonts w:cs="Arial"/>
        </w:rPr>
        <w:t xml:space="preserve"> r</w:t>
      </w:r>
      <w:r w:rsidR="00EF0D59">
        <w:rPr>
          <w:rFonts w:cs="Arial"/>
        </w:rPr>
        <w:t>equires</w:t>
      </w:r>
      <w:r w:rsidRPr="0097088B">
        <w:rPr>
          <w:rFonts w:cs="Arial"/>
        </w:rPr>
        <w:t xml:space="preserve"> new Street Trading application</w:t>
      </w:r>
      <w:r w:rsidR="00EF0D59">
        <w:rPr>
          <w:rFonts w:cs="Arial"/>
        </w:rPr>
        <w:t>s to</w:t>
      </w:r>
      <w:r w:rsidR="006A1F49" w:rsidRPr="0097088B">
        <w:rPr>
          <w:rFonts w:cs="Arial"/>
        </w:rPr>
        <w:t xml:space="preserve"> be referred to the Council’s General Purposes Licensing Casework Sub-Committee who will use the criteria listed </w:t>
      </w:r>
      <w:r w:rsidR="00EF0D59">
        <w:rPr>
          <w:rFonts w:cs="Arial"/>
        </w:rPr>
        <w:t>in t</w:t>
      </w:r>
      <w:r w:rsidRPr="0097088B">
        <w:rPr>
          <w:rFonts w:cs="Arial"/>
        </w:rPr>
        <w:t xml:space="preserve">he Policy </w:t>
      </w:r>
      <w:r w:rsidR="00EF0D59">
        <w:rPr>
          <w:rFonts w:cs="Arial"/>
        </w:rPr>
        <w:t>in their</w:t>
      </w:r>
      <w:r w:rsidR="006A1F49" w:rsidRPr="0097088B">
        <w:rPr>
          <w:rFonts w:cs="Arial"/>
        </w:rPr>
        <w:t xml:space="preserve"> determination of the application</w:t>
      </w:r>
      <w:r w:rsidRPr="0097088B">
        <w:rPr>
          <w:rFonts w:cs="Arial"/>
        </w:rPr>
        <w:t>. A range of Criteria are listed</w:t>
      </w:r>
      <w:r w:rsidR="006A1F49" w:rsidRPr="0097088B">
        <w:rPr>
          <w:rFonts w:cs="Arial"/>
        </w:rPr>
        <w:t xml:space="preserve">, with </w:t>
      </w:r>
      <w:r w:rsidRPr="0097088B">
        <w:rPr>
          <w:rFonts w:cs="Arial"/>
        </w:rPr>
        <w:t>each case being assessed on its merits and individual circumstances, where appropriate, may be taken into consideration. When there are representations</w:t>
      </w:r>
      <w:r w:rsidR="00700B55">
        <w:rPr>
          <w:rFonts w:cs="Arial"/>
        </w:rPr>
        <w:t xml:space="preserve"> relating to public safety</w:t>
      </w:r>
      <w:r w:rsidRPr="0097088B">
        <w:rPr>
          <w:rFonts w:cs="Arial"/>
        </w:rPr>
        <w:t>, the Responsible Head of Service acting under delegated powers may refuse an application</w:t>
      </w:r>
      <w:r w:rsidR="00F07BCF" w:rsidRPr="0097088B">
        <w:rPr>
          <w:rFonts w:cs="Arial"/>
        </w:rPr>
        <w:t>.</w:t>
      </w:r>
    </w:p>
    <w:p w14:paraId="16154172" w14:textId="77777777" w:rsidR="00D03E61" w:rsidRPr="0097088B" w:rsidRDefault="00D03E61" w:rsidP="00D03E61">
      <w:pPr>
        <w:rPr>
          <w:rFonts w:cs="Arial"/>
          <w:b/>
        </w:rPr>
      </w:pPr>
      <w:r w:rsidRPr="0097088B">
        <w:rPr>
          <w:rFonts w:cs="Arial"/>
          <w:b/>
        </w:rPr>
        <w:t>Reason for referral to Licensing Sub Committee</w:t>
      </w:r>
    </w:p>
    <w:p w14:paraId="7987DE56" w14:textId="4A6E3F76" w:rsidR="002229FE" w:rsidRDefault="00D03E61" w:rsidP="00182A0F">
      <w:pPr>
        <w:pStyle w:val="ListParagraph"/>
        <w:rPr>
          <w:rFonts w:cs="Arial"/>
        </w:rPr>
      </w:pPr>
      <w:r w:rsidRPr="0097088B">
        <w:rPr>
          <w:rFonts w:cs="Arial"/>
        </w:rPr>
        <w:t>Th</w:t>
      </w:r>
      <w:r w:rsidR="001348B5">
        <w:rPr>
          <w:rFonts w:cs="Arial"/>
        </w:rPr>
        <w:t>e</w:t>
      </w:r>
      <w:r w:rsidRPr="0097088B">
        <w:rPr>
          <w:rFonts w:cs="Arial"/>
        </w:rPr>
        <w:t xml:space="preserve"> application</w:t>
      </w:r>
      <w:r w:rsidR="00094350">
        <w:rPr>
          <w:rFonts w:cs="Arial"/>
        </w:rPr>
        <w:t xml:space="preserve"> is</w:t>
      </w:r>
      <w:r w:rsidRPr="0097088B">
        <w:rPr>
          <w:rFonts w:cs="Arial"/>
        </w:rPr>
        <w:t xml:space="preserve"> referred to the Licens</w:t>
      </w:r>
      <w:r w:rsidR="001348B5">
        <w:rPr>
          <w:rFonts w:cs="Arial"/>
        </w:rPr>
        <w:t>ing Sub Committee as per</w:t>
      </w:r>
      <w:r w:rsidR="00B2296D">
        <w:rPr>
          <w:rFonts w:cs="Arial"/>
        </w:rPr>
        <w:t xml:space="preserve"> the</w:t>
      </w:r>
      <w:r w:rsidR="001348B5">
        <w:rPr>
          <w:rFonts w:cs="Arial"/>
        </w:rPr>
        <w:t xml:space="preserve"> point</w:t>
      </w:r>
      <w:r w:rsidRPr="0097088B">
        <w:rPr>
          <w:rFonts w:cs="Arial"/>
        </w:rPr>
        <w:t xml:space="preserve"> above.</w:t>
      </w:r>
      <w:r w:rsidR="00182A0F">
        <w:rPr>
          <w:rFonts w:cs="Arial"/>
        </w:rPr>
        <w:t xml:space="preserve"> </w:t>
      </w:r>
      <w:r w:rsidR="002229FE" w:rsidRPr="00182A0F">
        <w:rPr>
          <w:rFonts w:cs="Arial"/>
        </w:rPr>
        <w:t>The application</w:t>
      </w:r>
      <w:r w:rsidR="00A17BB1">
        <w:rPr>
          <w:rFonts w:cs="Arial"/>
        </w:rPr>
        <w:t xml:space="preserve"> </w:t>
      </w:r>
      <w:r w:rsidR="002229FE" w:rsidRPr="00182A0F">
        <w:rPr>
          <w:rFonts w:cs="Arial"/>
        </w:rPr>
        <w:t>and</w:t>
      </w:r>
      <w:r w:rsidR="00094350">
        <w:rPr>
          <w:rFonts w:cs="Arial"/>
        </w:rPr>
        <w:t xml:space="preserve"> relevant</w:t>
      </w:r>
      <w:r w:rsidR="002229FE" w:rsidRPr="00182A0F">
        <w:rPr>
          <w:rFonts w:cs="Arial"/>
        </w:rPr>
        <w:t xml:space="preserve"> supporting documents can be found in the appendix to this report. </w:t>
      </w:r>
    </w:p>
    <w:p w14:paraId="11980524" w14:textId="2BB94A12" w:rsidR="000520ED" w:rsidRPr="00182A0F" w:rsidRDefault="000520ED" w:rsidP="00182A0F">
      <w:pPr>
        <w:pStyle w:val="ListParagraph"/>
        <w:rPr>
          <w:rFonts w:cs="Arial"/>
        </w:rPr>
      </w:pPr>
      <w:r>
        <w:rPr>
          <w:rFonts w:cs="Arial"/>
        </w:rPr>
        <w:t xml:space="preserve">No comments were received in response to the consultation on this application. </w:t>
      </w:r>
    </w:p>
    <w:p w14:paraId="62154F26" w14:textId="77777777" w:rsidR="000520ED" w:rsidRDefault="000520ED" w:rsidP="000520ED">
      <w:pPr>
        <w:pStyle w:val="ListParagraph"/>
      </w:pPr>
      <w:r>
        <w:t xml:space="preserve">Daytime pavement trading locations as according to the policy are set to within 08:00 – 21.00. </w:t>
      </w:r>
    </w:p>
    <w:p w14:paraId="668A5725" w14:textId="73F4B84B" w:rsidR="000520ED" w:rsidRDefault="000520ED" w:rsidP="000520ED">
      <w:pPr>
        <w:pStyle w:val="ListParagraph"/>
        <w:rPr>
          <w:rFonts w:cs="Arial"/>
        </w:rPr>
      </w:pPr>
      <w:r>
        <w:rPr>
          <w:rFonts w:cs="Arial"/>
        </w:rPr>
        <w:t>Whilst it is within the scope of the committee to depart from the policy, there must be compelling reason</w:t>
      </w:r>
      <w:r w:rsidR="00287228">
        <w:rPr>
          <w:rFonts w:cs="Arial"/>
        </w:rPr>
        <w:t>s</w:t>
      </w:r>
      <w:r>
        <w:rPr>
          <w:rFonts w:cs="Arial"/>
        </w:rPr>
        <w:t xml:space="preserve"> to do so.  </w:t>
      </w:r>
    </w:p>
    <w:p w14:paraId="643E0752" w14:textId="77777777" w:rsidR="000520ED" w:rsidRDefault="000520ED" w:rsidP="000520ED">
      <w:pPr>
        <w:pStyle w:val="ListParagraph"/>
        <w:rPr>
          <w:rFonts w:cs="Arial"/>
        </w:rPr>
      </w:pPr>
      <w:r>
        <w:rPr>
          <w:rFonts w:cs="Arial"/>
        </w:rPr>
        <w:t>The options available to the committee are:</w:t>
      </w:r>
    </w:p>
    <w:p w14:paraId="3AABCFAC" w14:textId="77777777" w:rsidR="000520ED" w:rsidRDefault="000520ED" w:rsidP="000520ED">
      <w:pPr>
        <w:pStyle w:val="ListParagraph"/>
        <w:numPr>
          <w:ilvl w:val="1"/>
          <w:numId w:val="14"/>
        </w:numPr>
        <w:rPr>
          <w:rFonts w:cs="Arial"/>
        </w:rPr>
      </w:pPr>
      <w:r>
        <w:rPr>
          <w:rFonts w:cs="Arial"/>
        </w:rPr>
        <w:t>To grant the variation to the existing consent as applied for</w:t>
      </w:r>
    </w:p>
    <w:p w14:paraId="6C4ACF20" w14:textId="77777777" w:rsidR="000520ED" w:rsidRDefault="000520ED" w:rsidP="000520ED">
      <w:pPr>
        <w:pStyle w:val="ListParagraph"/>
        <w:numPr>
          <w:ilvl w:val="1"/>
          <w:numId w:val="14"/>
        </w:numPr>
        <w:rPr>
          <w:rFonts w:cs="Arial"/>
        </w:rPr>
      </w:pPr>
      <w:r>
        <w:rPr>
          <w:rFonts w:cs="Arial"/>
        </w:rPr>
        <w:t>To partially grant the application, altering times/hours or adding necessary conditions</w:t>
      </w:r>
    </w:p>
    <w:p w14:paraId="0CF8F012" w14:textId="77777777" w:rsidR="000520ED" w:rsidRDefault="000520ED" w:rsidP="000520ED">
      <w:pPr>
        <w:pStyle w:val="ListParagraph"/>
        <w:numPr>
          <w:ilvl w:val="1"/>
          <w:numId w:val="14"/>
        </w:numPr>
        <w:rPr>
          <w:rFonts w:cs="Arial"/>
        </w:rPr>
      </w:pPr>
      <w:r>
        <w:rPr>
          <w:rFonts w:cs="Arial"/>
        </w:rPr>
        <w:t>To refuse the application</w:t>
      </w:r>
    </w:p>
    <w:p w14:paraId="14E46EC7" w14:textId="49746A77" w:rsidR="008B70A4" w:rsidRPr="00FC7874" w:rsidRDefault="00FC7874" w:rsidP="00644260">
      <w:pPr>
        <w:pStyle w:val="ListParagraph"/>
        <w:rPr>
          <w:rFonts w:cs="Arial"/>
        </w:rPr>
      </w:pPr>
      <w:r>
        <w:t>In doing so the committee can add or amend any conditions it thinks reasonable to achieve the aims detailed in the policy considerations below.</w:t>
      </w:r>
    </w:p>
    <w:p w14:paraId="507D8A66" w14:textId="77777777" w:rsidR="00D34B50" w:rsidRPr="0097088B" w:rsidRDefault="000707E2" w:rsidP="00C57F24">
      <w:pPr>
        <w:rPr>
          <w:rFonts w:cs="Arial"/>
        </w:rPr>
      </w:pPr>
      <w:r w:rsidRPr="0097088B">
        <w:rPr>
          <w:rFonts w:cs="Arial"/>
          <w:b/>
        </w:rPr>
        <w:t>Policy Considerations</w:t>
      </w:r>
      <w:r w:rsidR="00D34B50" w:rsidRPr="0097088B">
        <w:rPr>
          <w:rFonts w:cs="Arial"/>
          <w:b/>
        </w:rPr>
        <w:tab/>
      </w:r>
      <w:r w:rsidR="00D34B50" w:rsidRPr="0097088B">
        <w:rPr>
          <w:rFonts w:cs="Arial"/>
          <w:b/>
        </w:rPr>
        <w:tab/>
      </w:r>
    </w:p>
    <w:p w14:paraId="7B335DD7" w14:textId="6DDD2FA7" w:rsidR="00F91EE3" w:rsidRPr="0097088B" w:rsidRDefault="00F91EE3" w:rsidP="00F91EE3">
      <w:pPr>
        <w:pStyle w:val="ListParagraph"/>
      </w:pPr>
      <w:r w:rsidRPr="0097088B">
        <w:t>The Policy requires that when determining an application for the grant or renewal of a Consent, the Council will consider the following factors</w:t>
      </w:r>
      <w:r w:rsidR="00B34B20">
        <w:t>, as per section 6.8 of the Policy</w:t>
      </w:r>
      <w:r w:rsidRPr="0097088B">
        <w:t>:</w:t>
      </w:r>
    </w:p>
    <w:p w14:paraId="7CA40BCB" w14:textId="77777777" w:rsidR="000707E2" w:rsidRPr="0097088B" w:rsidRDefault="00F91EE3" w:rsidP="000707E2">
      <w:pPr>
        <w:pStyle w:val="Default"/>
      </w:pPr>
      <w:r w:rsidRPr="0097088B">
        <w:rPr>
          <w:b/>
          <w:bCs/>
        </w:rPr>
        <w:t xml:space="preserve"> </w:t>
      </w:r>
      <w:r w:rsidR="000707E2" w:rsidRPr="0097088B">
        <w:rPr>
          <w:b/>
          <w:bCs/>
        </w:rPr>
        <w:t xml:space="preserve">(a) Public safety </w:t>
      </w:r>
    </w:p>
    <w:p w14:paraId="3C657357" w14:textId="77777777" w:rsidR="000707E2" w:rsidRPr="0097088B" w:rsidRDefault="000707E2" w:rsidP="000707E2">
      <w:pPr>
        <w:pStyle w:val="Default"/>
      </w:pPr>
      <w:r w:rsidRPr="0097088B">
        <w:t xml:space="preserve">Whether the street trading activity represents, or is likely to represent, a substantial risk to the public. Factors taken into account will include: obstruction, fire hazard, unhygienic conditions or danger that may occur when a trader is accessing the site. </w:t>
      </w:r>
    </w:p>
    <w:p w14:paraId="1B06AF8B" w14:textId="77777777" w:rsidR="00DE553B" w:rsidRPr="0097088B" w:rsidRDefault="00DE553B" w:rsidP="000707E2">
      <w:pPr>
        <w:pStyle w:val="Default"/>
      </w:pPr>
    </w:p>
    <w:p w14:paraId="6A89204A" w14:textId="77777777" w:rsidR="000707E2" w:rsidRPr="0097088B" w:rsidRDefault="000707E2" w:rsidP="000707E2">
      <w:pPr>
        <w:pStyle w:val="Default"/>
      </w:pPr>
      <w:r w:rsidRPr="0097088B">
        <w:rPr>
          <w:b/>
          <w:bCs/>
        </w:rPr>
        <w:t xml:space="preserve">(b) Public order </w:t>
      </w:r>
    </w:p>
    <w:p w14:paraId="29A8AAF3" w14:textId="77777777" w:rsidR="000707E2" w:rsidRPr="0097088B" w:rsidRDefault="000707E2" w:rsidP="000707E2">
      <w:pPr>
        <w:pStyle w:val="Default"/>
      </w:pPr>
      <w:r w:rsidRPr="0097088B">
        <w:lastRenderedPageBreak/>
        <w:t xml:space="preserve">Whether the street trading activity represents, or is likely to represent, a substantial risk to public order. </w:t>
      </w:r>
    </w:p>
    <w:p w14:paraId="46B2ED9D" w14:textId="77777777" w:rsidR="00DE553B" w:rsidRPr="0097088B" w:rsidRDefault="00DE553B" w:rsidP="000707E2">
      <w:pPr>
        <w:pStyle w:val="Default"/>
      </w:pPr>
    </w:p>
    <w:p w14:paraId="595288DC" w14:textId="77777777" w:rsidR="000707E2" w:rsidRPr="0097088B" w:rsidRDefault="000707E2" w:rsidP="000707E2">
      <w:pPr>
        <w:pStyle w:val="Default"/>
      </w:pPr>
      <w:r w:rsidRPr="0097088B">
        <w:rPr>
          <w:b/>
          <w:bCs/>
        </w:rPr>
        <w:t xml:space="preserve">(c) Avoidance of public nuisance </w:t>
      </w:r>
    </w:p>
    <w:p w14:paraId="4E593E2E" w14:textId="77777777" w:rsidR="000707E2" w:rsidRPr="0097088B" w:rsidRDefault="000707E2" w:rsidP="000707E2">
      <w:pPr>
        <w:pStyle w:val="Default"/>
      </w:pPr>
      <w:r w:rsidRPr="0097088B">
        <w:t xml:space="preserve">Whether the street trading activity represents, or is likely to represent, a substantial risk of nuisance to the public, particularly in residential areas. </w:t>
      </w:r>
    </w:p>
    <w:p w14:paraId="50B357E1" w14:textId="77777777" w:rsidR="00DE553B" w:rsidRPr="0097088B" w:rsidRDefault="00DE553B" w:rsidP="000707E2">
      <w:pPr>
        <w:pStyle w:val="Default"/>
      </w:pPr>
    </w:p>
    <w:p w14:paraId="0B3F4588" w14:textId="77777777" w:rsidR="000707E2" w:rsidRPr="0097088B" w:rsidRDefault="000707E2" w:rsidP="000707E2">
      <w:pPr>
        <w:pStyle w:val="Default"/>
      </w:pPr>
      <w:r w:rsidRPr="0097088B">
        <w:rPr>
          <w:b/>
          <w:bCs/>
        </w:rPr>
        <w:t xml:space="preserve">(d) Appearance of the stall or vehicle </w:t>
      </w:r>
    </w:p>
    <w:p w14:paraId="155B3060" w14:textId="77777777" w:rsidR="000707E2" w:rsidRPr="0097088B" w:rsidRDefault="000707E2" w:rsidP="000707E2">
      <w:pPr>
        <w:pStyle w:val="Default"/>
      </w:pPr>
      <w:r w:rsidRPr="0097088B">
        <w:t xml:space="preserve">The stall or vehicle must be maintained in good condition, be of smart appearance and meet the criteria, including size, laid down in the standard Consent Conditions. Photographs or sketches, including dimensions, must be provided with all new applications and requests for approval of changes to or replacement of a stall or vehicle. The general appearance of the vehicle or stall will also be considered in order to determine that the unit will not detract from the appearance of the surrounding area. </w:t>
      </w:r>
    </w:p>
    <w:p w14:paraId="665B8EAA" w14:textId="77777777" w:rsidR="00DE553B" w:rsidRPr="0097088B" w:rsidRDefault="00DE553B" w:rsidP="000707E2">
      <w:pPr>
        <w:pStyle w:val="Default"/>
      </w:pPr>
    </w:p>
    <w:p w14:paraId="617D0E03" w14:textId="77777777" w:rsidR="000707E2" w:rsidRPr="0097088B" w:rsidRDefault="000707E2" w:rsidP="000707E2">
      <w:pPr>
        <w:pStyle w:val="Default"/>
      </w:pPr>
      <w:r w:rsidRPr="0097088B">
        <w:t>(</w:t>
      </w:r>
      <w:r w:rsidRPr="0097088B">
        <w:rPr>
          <w:b/>
          <w:bCs/>
        </w:rPr>
        <w:t xml:space="preserve">e) Needs of the area </w:t>
      </w:r>
    </w:p>
    <w:p w14:paraId="158F6568" w14:textId="77777777" w:rsidR="00DE553B" w:rsidRPr="0097088B" w:rsidRDefault="000707E2" w:rsidP="00DE553B">
      <w:pPr>
        <w:ind w:left="426" w:hanging="426"/>
        <w:rPr>
          <w:rFonts w:cs="Arial"/>
        </w:rPr>
      </w:pPr>
      <w:r w:rsidRPr="0097088B">
        <w:rPr>
          <w:rFonts w:cs="Arial"/>
        </w:rPr>
        <w:t>The demand for the articles for sale and the geographical location of the proposed site.</w:t>
      </w:r>
    </w:p>
    <w:p w14:paraId="5DFA25BF" w14:textId="77777777" w:rsidR="00D807B5" w:rsidRDefault="00D807B5" w:rsidP="000707E2">
      <w:pPr>
        <w:pStyle w:val="Default"/>
        <w:rPr>
          <w:b/>
          <w:bCs/>
        </w:rPr>
      </w:pPr>
    </w:p>
    <w:p w14:paraId="3931F1DE" w14:textId="77777777" w:rsidR="000707E2" w:rsidRPr="0097088B" w:rsidRDefault="000707E2" w:rsidP="000707E2">
      <w:pPr>
        <w:pStyle w:val="Default"/>
      </w:pPr>
      <w:r w:rsidRPr="0097088B">
        <w:rPr>
          <w:b/>
          <w:bCs/>
        </w:rPr>
        <w:t xml:space="preserve">(f) Environmental sustainability </w:t>
      </w:r>
    </w:p>
    <w:p w14:paraId="4C189622" w14:textId="77777777" w:rsidR="000707E2" w:rsidRPr="0097088B" w:rsidRDefault="000707E2" w:rsidP="000707E2">
      <w:pPr>
        <w:pStyle w:val="Default"/>
      </w:pPr>
      <w:r w:rsidRPr="0097088B">
        <w:t xml:space="preserve">Measures to minimise the impact of the proposed operation on the local environment including street surfaces and materials, power supply, carbon footprint, supply chain, packaging, waste minimisation, recycling and waste disposal. </w:t>
      </w:r>
    </w:p>
    <w:p w14:paraId="664470F0" w14:textId="77777777" w:rsidR="00DE553B" w:rsidRPr="0097088B" w:rsidRDefault="00DE553B" w:rsidP="000707E2">
      <w:pPr>
        <w:pStyle w:val="Default"/>
      </w:pPr>
    </w:p>
    <w:p w14:paraId="6AAD982D" w14:textId="77777777" w:rsidR="00DE553B" w:rsidRPr="0097088B" w:rsidRDefault="000707E2" w:rsidP="000707E2">
      <w:pPr>
        <w:pStyle w:val="Default"/>
        <w:rPr>
          <w:b/>
          <w:bCs/>
        </w:rPr>
      </w:pPr>
      <w:r w:rsidRPr="0097088B">
        <w:rPr>
          <w:b/>
          <w:bCs/>
        </w:rPr>
        <w:t xml:space="preserve">(g) Food safety and food offer </w:t>
      </w:r>
    </w:p>
    <w:p w14:paraId="20B3F341" w14:textId="77777777" w:rsidR="000707E2" w:rsidRDefault="000707E2" w:rsidP="000707E2">
      <w:pPr>
        <w:pStyle w:val="Default"/>
      </w:pPr>
      <w:r w:rsidRPr="0097088B">
        <w:t xml:space="preserve">Applicants to trade in hot or cold food must be able to demonstrate a good understanding of food safety and be registered as a food business with the relevant local authority. As a minimum, food handlers must hold a current Level 2 Award in Food Safety in Catering accredited by The Chartered Institute of Environmental Health or The Royal Institute for Public Health. Consideration will be given to applicant’s ability to meet SUGAR SMART Oxford criteria (see Annex 3 for guidance). </w:t>
      </w:r>
    </w:p>
    <w:p w14:paraId="50072507" w14:textId="77777777" w:rsidR="008379A2" w:rsidRPr="0097088B" w:rsidRDefault="008379A2" w:rsidP="000707E2">
      <w:pPr>
        <w:pStyle w:val="Default"/>
      </w:pPr>
    </w:p>
    <w:p w14:paraId="20400765" w14:textId="77777777" w:rsidR="000707E2" w:rsidRDefault="000707E2" w:rsidP="008379A2">
      <w:pPr>
        <w:rPr>
          <w:rFonts w:cs="Arial"/>
        </w:rPr>
      </w:pPr>
      <w:r w:rsidRPr="0097088B">
        <w:rPr>
          <w:rFonts w:cs="Arial"/>
          <w:b/>
          <w:bCs/>
        </w:rPr>
        <w:t xml:space="preserve">(h) Highway safety </w:t>
      </w:r>
      <w:proofErr w:type="gramStart"/>
      <w:r w:rsidRPr="0097088B">
        <w:rPr>
          <w:rFonts w:cs="Arial"/>
        </w:rPr>
        <w:t>The</w:t>
      </w:r>
      <w:proofErr w:type="gramEnd"/>
      <w:r w:rsidRPr="0097088B">
        <w:rPr>
          <w:rFonts w:cs="Arial"/>
        </w:rPr>
        <w:t xml:space="preserve"> location and operating times will be such that the highway can be maintained in accordance with the Oxfordshire County Council’s requirements and that there are no dangers to those who have a right to use the highway and no obstruction for emergency access.</w:t>
      </w:r>
    </w:p>
    <w:p w14:paraId="67EE4E93" w14:textId="7F8ABC30" w:rsidR="00F91EE3" w:rsidRPr="00EF0D59" w:rsidRDefault="00094350" w:rsidP="00182A0F">
      <w:pPr>
        <w:pStyle w:val="ListParagraph"/>
        <w:rPr>
          <w:rFonts w:cs="Arial"/>
        </w:rPr>
      </w:pPr>
      <w:r>
        <w:rPr>
          <w:rFonts w:cs="Arial"/>
        </w:rPr>
        <w:t>The</w:t>
      </w:r>
      <w:r w:rsidR="00EF0D59">
        <w:rPr>
          <w:rFonts w:cs="Arial"/>
        </w:rPr>
        <w:t xml:space="preserve"> application ha</w:t>
      </w:r>
      <w:r>
        <w:rPr>
          <w:rFonts w:cs="Arial"/>
        </w:rPr>
        <w:t>s</w:t>
      </w:r>
      <w:r w:rsidR="00EF0D59">
        <w:rPr>
          <w:rFonts w:cs="Arial"/>
        </w:rPr>
        <w:t xml:space="preserve"> been assessed against the required criteria and </w:t>
      </w:r>
      <w:proofErr w:type="gramStart"/>
      <w:r>
        <w:rPr>
          <w:rFonts w:cs="Arial"/>
        </w:rPr>
        <w:t>is</w:t>
      </w:r>
      <w:r w:rsidR="00EF0D59">
        <w:rPr>
          <w:rFonts w:cs="Arial"/>
        </w:rPr>
        <w:t xml:space="preserve"> considered to be</w:t>
      </w:r>
      <w:proofErr w:type="gramEnd"/>
      <w:r w:rsidR="00EF0D59">
        <w:rPr>
          <w:rFonts w:cs="Arial"/>
        </w:rPr>
        <w:t xml:space="preserve"> valid. </w:t>
      </w:r>
    </w:p>
    <w:p w14:paraId="3C4941A8" w14:textId="77777777" w:rsidR="0040736F" w:rsidRPr="0097088B" w:rsidRDefault="002329CF" w:rsidP="004A6D2F">
      <w:pPr>
        <w:pStyle w:val="Heading1"/>
        <w:rPr>
          <w:rFonts w:cs="Arial"/>
        </w:rPr>
      </w:pPr>
      <w:r w:rsidRPr="0097088B">
        <w:rPr>
          <w:rFonts w:cs="Arial"/>
        </w:rPr>
        <w:t>Financial implications</w:t>
      </w:r>
    </w:p>
    <w:p w14:paraId="6168A538" w14:textId="77777777" w:rsidR="00BD7D7B" w:rsidRPr="00F91EE3" w:rsidRDefault="00BD7D7B" w:rsidP="00F91EE3">
      <w:pPr>
        <w:pStyle w:val="ListParagraph"/>
      </w:pPr>
      <w:r w:rsidRPr="00F91EE3">
        <w:t>The Council collects fees for Street Trading Consents.  Predicted income from Consent fees are included in the Council’s budget.</w:t>
      </w:r>
    </w:p>
    <w:p w14:paraId="0697315C" w14:textId="77777777" w:rsidR="0040736F" w:rsidRPr="0097088B" w:rsidRDefault="00DA614B" w:rsidP="004A6D2F">
      <w:pPr>
        <w:pStyle w:val="Heading1"/>
        <w:rPr>
          <w:rFonts w:cs="Arial"/>
        </w:rPr>
      </w:pPr>
      <w:r w:rsidRPr="0097088B">
        <w:rPr>
          <w:rFonts w:cs="Arial"/>
        </w:rPr>
        <w:t>Legal issues</w:t>
      </w:r>
    </w:p>
    <w:p w14:paraId="714D4BFE" w14:textId="77777777" w:rsidR="00274DEB" w:rsidRPr="0097088B" w:rsidRDefault="00BD7D7B" w:rsidP="00BD7D7B">
      <w:pPr>
        <w:pStyle w:val="ListParagraph"/>
        <w:rPr>
          <w:rFonts w:cs="Arial"/>
        </w:rPr>
      </w:pPr>
      <w:r w:rsidRPr="0097088B">
        <w:rPr>
          <w:rFonts w:cs="Arial"/>
        </w:rPr>
        <w:t>The Sub Committee may grant a Street Trading Consent if it ‘thinks fit’.  Consent may be revoked at any time.  A street trader cannot be said to enjoy security of tenure and there is no requirement for the Council to give compensation for the loss of any Consent (other than any refund of Consent fees paid in advance).  However, any decision to refuse an application or terminate Street Trading Consents may be subject to a judicial review and if held to be unreasonable then compensation may result.</w:t>
      </w:r>
    </w:p>
    <w:p w14:paraId="3D694A9B" w14:textId="77777777" w:rsidR="00BD7D7B" w:rsidRPr="0097088B" w:rsidRDefault="00BD7D7B" w:rsidP="00BD7D7B">
      <w:pPr>
        <w:pStyle w:val="ListParagraph"/>
        <w:rPr>
          <w:rFonts w:cs="Arial"/>
        </w:rPr>
      </w:pPr>
      <w:r w:rsidRPr="0097088B">
        <w:rPr>
          <w:rFonts w:cs="Arial"/>
        </w:rPr>
        <w:lastRenderedPageBreak/>
        <w:t>Any determination of an application for Consent must be proportionate taking into account all relevant circumstances and the Consent holder’s right to a fair hearing.  An application should not be refused arbitrarily and without clear reason.</w:t>
      </w:r>
    </w:p>
    <w:p w14:paraId="0B5FF58D" w14:textId="77777777" w:rsidR="00BD7D7B" w:rsidRPr="0097088B" w:rsidRDefault="00BD7D7B" w:rsidP="00BD7D7B">
      <w:pPr>
        <w:pStyle w:val="ListParagraph"/>
        <w:numPr>
          <w:ilvl w:val="0"/>
          <w:numId w:val="0"/>
        </w:numPr>
        <w:ind w:left="360"/>
        <w:rPr>
          <w:rFonts w:cs="Arial"/>
        </w:rPr>
      </w:pPr>
    </w:p>
    <w:p w14:paraId="7B5BE282" w14:textId="77777777" w:rsidR="00D37F61" w:rsidRPr="0097088B" w:rsidRDefault="00D37F61" w:rsidP="00D37F61">
      <w:pPr>
        <w:pStyle w:val="ListParagraph"/>
        <w:numPr>
          <w:ilvl w:val="0"/>
          <w:numId w:val="0"/>
        </w:numPr>
        <w:ind w:left="426" w:hanging="426"/>
        <w:rPr>
          <w:rFonts w:cs="Arial"/>
          <w:b/>
        </w:rPr>
      </w:pPr>
      <w:r w:rsidRPr="0097088B">
        <w:rPr>
          <w:rFonts w:cs="Arial"/>
          <w:b/>
        </w:rPr>
        <w:t>Human Rights Act Considerations</w:t>
      </w:r>
    </w:p>
    <w:p w14:paraId="0F0D8F96" w14:textId="77777777" w:rsidR="00D37F61" w:rsidRDefault="00D37F61" w:rsidP="00BD7D7B">
      <w:pPr>
        <w:pStyle w:val="ListParagraph"/>
        <w:numPr>
          <w:ilvl w:val="0"/>
          <w:numId w:val="34"/>
        </w:numPr>
        <w:rPr>
          <w:rFonts w:cs="Arial"/>
        </w:rPr>
      </w:pPr>
      <w:r w:rsidRPr="0097088B">
        <w:rPr>
          <w:rFonts w:cs="Arial"/>
        </w:rPr>
        <w:t xml:space="preserve">Article 1 of the first Protocol of the European Convention on Human Rights provides that every person is entitled to the peaceful enjoyment of his possessions.  No one shall be deprived of his possessions except in the public interest and subject to the conditions provided for by law.  </w:t>
      </w:r>
      <w:proofErr w:type="gramStart"/>
      <w:r w:rsidRPr="0097088B">
        <w:rPr>
          <w:rFonts w:cs="Arial"/>
        </w:rPr>
        <w:t>However</w:t>
      </w:r>
      <w:proofErr w:type="gramEnd"/>
      <w:r w:rsidRPr="0097088B">
        <w:rPr>
          <w:rFonts w:cs="Arial"/>
        </w:rPr>
        <w:t xml:space="preserve"> a street trading consent is not generally considered to be a possession in law and the protection in Article 1 is therefore not directly engaged.</w:t>
      </w:r>
    </w:p>
    <w:p w14:paraId="08AC3734" w14:textId="55D663D6" w:rsidR="00287228" w:rsidRDefault="00287228" w:rsidP="00287228">
      <w:pPr>
        <w:pStyle w:val="ListParagraph"/>
        <w:numPr>
          <w:ilvl w:val="0"/>
          <w:numId w:val="0"/>
        </w:numPr>
        <w:ind w:left="360"/>
        <w:rPr>
          <w:rFonts w:cs="Arial"/>
        </w:rPr>
      </w:pPr>
    </w:p>
    <w:p w14:paraId="54A54A88" w14:textId="7D8C7CF3" w:rsidR="00287228" w:rsidRPr="00E3280E" w:rsidRDefault="00287228" w:rsidP="00E3280E">
      <w:pPr>
        <w:rPr>
          <w:rFonts w:cs="Arial"/>
          <w:b/>
          <w:bCs/>
        </w:rPr>
      </w:pPr>
      <w:r>
        <w:rPr>
          <w:rFonts w:cs="Arial"/>
          <w:b/>
          <w:bCs/>
        </w:rPr>
        <w:t>Equality Act Considerations</w:t>
      </w:r>
    </w:p>
    <w:p w14:paraId="0AE1C91A" w14:textId="77777777" w:rsidR="00287228" w:rsidRDefault="00287228" w:rsidP="00287228">
      <w:pPr>
        <w:pStyle w:val="ListParagraph"/>
        <w:ind w:left="644"/>
      </w:pPr>
      <w:r>
        <w:t>The Council has a Public Sector Equality Duty under the Equality Act 2010 to have due regard to the need to:</w:t>
      </w:r>
    </w:p>
    <w:p w14:paraId="12ECAEEF" w14:textId="77777777" w:rsidR="00287228" w:rsidRDefault="00287228" w:rsidP="00287228">
      <w:pPr>
        <w:pStyle w:val="ListParagraph"/>
        <w:numPr>
          <w:ilvl w:val="0"/>
          <w:numId w:val="41"/>
        </w:numPr>
      </w:pPr>
      <w:r>
        <w:t xml:space="preserve">Eliminate discrimination, harassment and victimisation and any other conduct that is prohibited by or under the </w:t>
      </w:r>
      <w:proofErr w:type="gramStart"/>
      <w:r>
        <w:t>Act;</w:t>
      </w:r>
      <w:proofErr w:type="gramEnd"/>
    </w:p>
    <w:p w14:paraId="1CFFBB0D" w14:textId="77777777" w:rsidR="00287228" w:rsidRDefault="00287228" w:rsidP="00287228">
      <w:pPr>
        <w:pStyle w:val="ListParagraph"/>
        <w:numPr>
          <w:ilvl w:val="0"/>
          <w:numId w:val="41"/>
        </w:numPr>
      </w:pPr>
      <w:r>
        <w:t xml:space="preserve">Advance equality of opportunity between people who share a relevant protected characteristic and those who don’t share </w:t>
      </w:r>
      <w:proofErr w:type="gramStart"/>
      <w:r>
        <w:t>it;</w:t>
      </w:r>
      <w:proofErr w:type="gramEnd"/>
    </w:p>
    <w:p w14:paraId="19B7AC5B" w14:textId="77777777" w:rsidR="00287228" w:rsidRDefault="00287228" w:rsidP="00287228">
      <w:pPr>
        <w:pStyle w:val="ListParagraph"/>
        <w:numPr>
          <w:ilvl w:val="0"/>
          <w:numId w:val="41"/>
        </w:numPr>
      </w:pPr>
      <w:r>
        <w:t>Foster good relations between people who share a relevant protected characteristic and those who do not (which involves having due regard</w:t>
      </w:r>
      <w:proofErr w:type="gramStart"/>
      <w:r>
        <w:t>, in particular, to</w:t>
      </w:r>
      <w:proofErr w:type="gramEnd"/>
      <w:r>
        <w:t xml:space="preserve"> the need to tackle prejudice and promote understanding.</w:t>
      </w:r>
    </w:p>
    <w:p w14:paraId="7A9DF34C" w14:textId="77777777" w:rsidR="00287228" w:rsidRDefault="00287228" w:rsidP="00287228">
      <w:pPr>
        <w:rPr>
          <w:rFonts w:cs="Arial"/>
        </w:rPr>
      </w:pPr>
    </w:p>
    <w:p w14:paraId="56D3A9F3" w14:textId="23832E8F" w:rsidR="00287228" w:rsidRDefault="00287228" w:rsidP="00287228">
      <w:pPr>
        <w:rPr>
          <w:rFonts w:cs="Arial"/>
          <w:b/>
          <w:bCs/>
        </w:rPr>
      </w:pPr>
      <w:r w:rsidRPr="00E3280E">
        <w:rPr>
          <w:rFonts w:cs="Arial"/>
          <w:b/>
          <w:bCs/>
        </w:rPr>
        <w:t>Environmental Considerations</w:t>
      </w:r>
    </w:p>
    <w:p w14:paraId="471C9A8D" w14:textId="1F1FC131" w:rsidR="00287228" w:rsidRDefault="00287228" w:rsidP="00287228">
      <w:pPr>
        <w:pStyle w:val="ListParagraph"/>
      </w:pPr>
      <w:r>
        <w:rPr>
          <w:rFonts w:cs="Arial"/>
        </w:rPr>
        <w:tab/>
      </w:r>
      <w:r>
        <w:t xml:space="preserve">There are no environmental considerations arising directly from this report. </w:t>
      </w:r>
    </w:p>
    <w:p w14:paraId="682A2D7E" w14:textId="2F61EF0C" w:rsidR="00287228" w:rsidRPr="00287228" w:rsidRDefault="00287228" w:rsidP="00E3280E">
      <w:pPr>
        <w:rPr>
          <w:rFonts w:cs="Arial"/>
        </w:rPr>
      </w:pPr>
    </w:p>
    <w:p w14:paraId="164A38CC" w14:textId="77777777" w:rsidR="002329CF" w:rsidRPr="0097088B" w:rsidRDefault="002329CF" w:rsidP="004A6D2F">
      <w:pPr>
        <w:rPr>
          <w:rFonts w:cs="Arial"/>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97088B" w14:paraId="149540ED"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3871B2A4" w14:textId="77777777" w:rsidR="00E87F7A" w:rsidRPr="0097088B" w:rsidRDefault="00E87F7A" w:rsidP="00A46E98">
            <w:pPr>
              <w:rPr>
                <w:rFonts w:cs="Arial"/>
                <w:b/>
              </w:rPr>
            </w:pPr>
            <w:r w:rsidRPr="0097088B">
              <w:rPr>
                <w:rFonts w:cs="Arial"/>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7CDF10D2" w14:textId="65F83364" w:rsidR="00E87F7A" w:rsidRPr="0097088B" w:rsidRDefault="002E3A02" w:rsidP="00A46E98">
            <w:pPr>
              <w:rPr>
                <w:rFonts w:cs="Arial"/>
              </w:rPr>
            </w:pPr>
            <w:r>
              <w:rPr>
                <w:rFonts w:cs="Arial"/>
              </w:rPr>
              <w:t>Matthew Stead</w:t>
            </w:r>
          </w:p>
        </w:tc>
      </w:tr>
      <w:tr w:rsidR="00DF093E" w:rsidRPr="0097088B" w14:paraId="1505455E"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3CE888A8" w14:textId="77777777" w:rsidR="00E87F7A" w:rsidRPr="0097088B" w:rsidRDefault="00E87F7A" w:rsidP="00A46E98">
            <w:pPr>
              <w:rPr>
                <w:rFonts w:cs="Arial"/>
              </w:rPr>
            </w:pPr>
            <w:r w:rsidRPr="0097088B">
              <w:rPr>
                <w:rFonts w:cs="Arial"/>
              </w:rPr>
              <w:t>Job title</w:t>
            </w:r>
          </w:p>
        </w:tc>
        <w:tc>
          <w:tcPr>
            <w:tcW w:w="4962" w:type="dxa"/>
            <w:tcBorders>
              <w:top w:val="single" w:sz="8" w:space="0" w:color="000000"/>
              <w:left w:val="nil"/>
              <w:bottom w:val="nil"/>
              <w:right w:val="single" w:sz="8" w:space="0" w:color="000000"/>
            </w:tcBorders>
            <w:shd w:val="clear" w:color="auto" w:fill="auto"/>
          </w:tcPr>
          <w:p w14:paraId="3FCF7697" w14:textId="63CFBEDA" w:rsidR="00E87F7A" w:rsidRPr="0097088B" w:rsidRDefault="002E3A02" w:rsidP="00A162BB">
            <w:pPr>
              <w:rPr>
                <w:rFonts w:cs="Arial"/>
              </w:rPr>
            </w:pPr>
            <w:r>
              <w:rPr>
                <w:rFonts w:cs="Arial"/>
              </w:rPr>
              <w:t>Senior Licensing Officer</w:t>
            </w:r>
          </w:p>
        </w:tc>
      </w:tr>
      <w:tr w:rsidR="00DF093E" w:rsidRPr="0097088B" w14:paraId="0C6032C4" w14:textId="77777777" w:rsidTr="00A46E98">
        <w:trPr>
          <w:cantSplit/>
          <w:trHeight w:val="396"/>
        </w:trPr>
        <w:tc>
          <w:tcPr>
            <w:tcW w:w="3969" w:type="dxa"/>
            <w:tcBorders>
              <w:top w:val="nil"/>
              <w:left w:val="single" w:sz="8" w:space="0" w:color="000000"/>
              <w:bottom w:val="nil"/>
              <w:right w:val="nil"/>
            </w:tcBorders>
            <w:shd w:val="clear" w:color="auto" w:fill="auto"/>
          </w:tcPr>
          <w:p w14:paraId="0642D7B5" w14:textId="77777777" w:rsidR="00E87F7A" w:rsidRPr="0097088B" w:rsidRDefault="00E87F7A" w:rsidP="00A46E98">
            <w:pPr>
              <w:rPr>
                <w:rFonts w:cs="Arial"/>
              </w:rPr>
            </w:pPr>
            <w:r w:rsidRPr="0097088B">
              <w:rPr>
                <w:rFonts w:cs="Arial"/>
              </w:rPr>
              <w:t>Service area or department</w:t>
            </w:r>
          </w:p>
        </w:tc>
        <w:tc>
          <w:tcPr>
            <w:tcW w:w="4962" w:type="dxa"/>
            <w:tcBorders>
              <w:top w:val="nil"/>
              <w:left w:val="nil"/>
              <w:bottom w:val="nil"/>
              <w:right w:val="single" w:sz="8" w:space="0" w:color="000000"/>
            </w:tcBorders>
            <w:shd w:val="clear" w:color="auto" w:fill="auto"/>
          </w:tcPr>
          <w:p w14:paraId="4D59E2D7" w14:textId="368B5BFE" w:rsidR="00E87F7A" w:rsidRPr="0097088B" w:rsidRDefault="00EC1261" w:rsidP="00A46E98">
            <w:pPr>
              <w:rPr>
                <w:rFonts w:cs="Arial"/>
              </w:rPr>
            </w:pPr>
            <w:r>
              <w:rPr>
                <w:rFonts w:cs="Arial"/>
              </w:rPr>
              <w:t>Planning and Regulatory Services</w:t>
            </w:r>
          </w:p>
        </w:tc>
      </w:tr>
      <w:tr w:rsidR="00DF093E" w:rsidRPr="0097088B" w14:paraId="72F9A9C7" w14:textId="77777777" w:rsidTr="00A46E98">
        <w:trPr>
          <w:cantSplit/>
          <w:trHeight w:val="396"/>
        </w:trPr>
        <w:tc>
          <w:tcPr>
            <w:tcW w:w="3969" w:type="dxa"/>
            <w:tcBorders>
              <w:top w:val="nil"/>
              <w:left w:val="single" w:sz="8" w:space="0" w:color="000000"/>
              <w:bottom w:val="nil"/>
              <w:right w:val="nil"/>
            </w:tcBorders>
            <w:shd w:val="clear" w:color="auto" w:fill="auto"/>
          </w:tcPr>
          <w:p w14:paraId="618848D1" w14:textId="77777777" w:rsidR="00E87F7A" w:rsidRPr="0097088B" w:rsidRDefault="00E87F7A" w:rsidP="00A46E98">
            <w:pPr>
              <w:rPr>
                <w:rFonts w:cs="Arial"/>
              </w:rPr>
            </w:pPr>
            <w:r w:rsidRPr="0097088B">
              <w:rPr>
                <w:rFonts w:cs="Arial"/>
              </w:rPr>
              <w:t xml:space="preserve">Telephone </w:t>
            </w:r>
          </w:p>
        </w:tc>
        <w:tc>
          <w:tcPr>
            <w:tcW w:w="4962" w:type="dxa"/>
            <w:tcBorders>
              <w:top w:val="nil"/>
              <w:left w:val="nil"/>
              <w:bottom w:val="nil"/>
              <w:right w:val="single" w:sz="8" w:space="0" w:color="000000"/>
            </w:tcBorders>
            <w:shd w:val="clear" w:color="auto" w:fill="auto"/>
          </w:tcPr>
          <w:p w14:paraId="445E5BEF" w14:textId="16FF5AAA" w:rsidR="00E87F7A" w:rsidRPr="0097088B" w:rsidRDefault="00E87F7A" w:rsidP="002E3A02">
            <w:pPr>
              <w:rPr>
                <w:rFonts w:cs="Arial"/>
              </w:rPr>
            </w:pPr>
            <w:r w:rsidRPr="0097088B">
              <w:rPr>
                <w:rFonts w:cs="Arial"/>
              </w:rPr>
              <w:t xml:space="preserve">01865 </w:t>
            </w:r>
            <w:r w:rsidR="002E3A02">
              <w:rPr>
                <w:rFonts w:cs="Arial"/>
              </w:rPr>
              <w:t>335771</w:t>
            </w:r>
          </w:p>
        </w:tc>
      </w:tr>
      <w:tr w:rsidR="005570B5" w:rsidRPr="0097088B" w14:paraId="720C00BF"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6EF31BD8" w14:textId="77777777" w:rsidR="00E87F7A" w:rsidRPr="0097088B" w:rsidRDefault="00E87F7A" w:rsidP="00A46E98">
            <w:pPr>
              <w:rPr>
                <w:rFonts w:cs="Arial"/>
              </w:rPr>
            </w:pPr>
            <w:r w:rsidRPr="0097088B">
              <w:rPr>
                <w:rFonts w:cs="Arial"/>
              </w:rPr>
              <w:t xml:space="preserve">e-mail </w:t>
            </w:r>
          </w:p>
        </w:tc>
        <w:tc>
          <w:tcPr>
            <w:tcW w:w="4962" w:type="dxa"/>
            <w:tcBorders>
              <w:top w:val="nil"/>
              <w:left w:val="nil"/>
              <w:bottom w:val="single" w:sz="8" w:space="0" w:color="000000"/>
              <w:right w:val="single" w:sz="8" w:space="0" w:color="000000"/>
            </w:tcBorders>
            <w:shd w:val="clear" w:color="auto" w:fill="auto"/>
          </w:tcPr>
          <w:p w14:paraId="7F8024AD" w14:textId="5E2A001A" w:rsidR="005456A1" w:rsidRPr="0097088B" w:rsidRDefault="002E3A02" w:rsidP="000A2B88">
            <w:pPr>
              <w:rPr>
                <w:rStyle w:val="Hyperlink"/>
                <w:rFonts w:cs="Arial"/>
                <w:color w:val="000000"/>
              </w:rPr>
            </w:pPr>
            <w:r>
              <w:rPr>
                <w:rStyle w:val="Hyperlink"/>
                <w:rFonts w:cs="Arial"/>
              </w:rPr>
              <w:t>mstead</w:t>
            </w:r>
            <w:r w:rsidR="000A2B88" w:rsidRPr="0097088B">
              <w:rPr>
                <w:rStyle w:val="Hyperlink"/>
                <w:rFonts w:cs="Arial"/>
              </w:rPr>
              <w:t>@oxford.gov.uk</w:t>
            </w:r>
          </w:p>
        </w:tc>
      </w:tr>
    </w:tbl>
    <w:p w14:paraId="5185A1FC" w14:textId="77777777" w:rsidR="00CE4C87" w:rsidRDefault="00CE4C87" w:rsidP="0093067A">
      <w:pPr>
        <w:rPr>
          <w:rFonts w:cs="Arial"/>
        </w:rPr>
      </w:pPr>
    </w:p>
    <w:p w14:paraId="2FE42816" w14:textId="77777777" w:rsidR="004825E6" w:rsidRDefault="004825E6" w:rsidP="0093067A">
      <w:pPr>
        <w:rPr>
          <w:rFonts w:cs="Arial"/>
        </w:rPr>
      </w:pPr>
    </w:p>
    <w:p w14:paraId="19EF0006" w14:textId="77777777" w:rsidR="00B34B20" w:rsidRDefault="00B34B20" w:rsidP="0093067A">
      <w:pPr>
        <w:rPr>
          <w:rFonts w:cs="Arial"/>
        </w:rPr>
      </w:pPr>
    </w:p>
    <w:p w14:paraId="1452F4AA" w14:textId="77777777" w:rsidR="000520ED" w:rsidRDefault="000520ED" w:rsidP="0093067A">
      <w:pPr>
        <w:rPr>
          <w:rFonts w:cs="Arial"/>
        </w:rPr>
      </w:pPr>
    </w:p>
    <w:p w14:paraId="6282F57C" w14:textId="77777777" w:rsidR="000520ED" w:rsidRDefault="000520ED" w:rsidP="0093067A">
      <w:pPr>
        <w:rPr>
          <w:rFonts w:cs="Arial"/>
        </w:rPr>
      </w:pPr>
    </w:p>
    <w:p w14:paraId="73B51CB8" w14:textId="77777777" w:rsidR="000520ED" w:rsidRDefault="000520ED" w:rsidP="0093067A">
      <w:pPr>
        <w:rPr>
          <w:rFonts w:cs="Arial"/>
        </w:rPr>
      </w:pPr>
    </w:p>
    <w:p w14:paraId="6F9FD692" w14:textId="77777777" w:rsidR="000520ED" w:rsidRDefault="000520ED" w:rsidP="0093067A">
      <w:pPr>
        <w:rPr>
          <w:rFonts w:cs="Arial"/>
        </w:rPr>
      </w:pPr>
    </w:p>
    <w:p w14:paraId="73A7BF10" w14:textId="77777777" w:rsidR="000520ED" w:rsidRDefault="000520ED" w:rsidP="0093067A">
      <w:pPr>
        <w:rPr>
          <w:rFonts w:cs="Arial"/>
        </w:rPr>
      </w:pPr>
    </w:p>
    <w:p w14:paraId="5FD21829" w14:textId="77777777" w:rsidR="000520ED" w:rsidRDefault="000520ED" w:rsidP="0093067A">
      <w:pPr>
        <w:rPr>
          <w:rFonts w:cs="Arial"/>
        </w:rPr>
      </w:pPr>
    </w:p>
    <w:p w14:paraId="07A30018" w14:textId="77777777" w:rsidR="000520ED" w:rsidRDefault="000520ED" w:rsidP="0093067A">
      <w:pPr>
        <w:rPr>
          <w:rFonts w:cs="Arial"/>
        </w:rPr>
      </w:pPr>
    </w:p>
    <w:p w14:paraId="32B5BB27" w14:textId="77777777" w:rsidR="000520ED" w:rsidRDefault="000520ED" w:rsidP="0093067A">
      <w:pPr>
        <w:rPr>
          <w:rFonts w:cs="Arial"/>
        </w:rPr>
      </w:pPr>
    </w:p>
    <w:p w14:paraId="38C332BC" w14:textId="77777777" w:rsidR="000520ED" w:rsidRDefault="000520ED" w:rsidP="0093067A">
      <w:pPr>
        <w:rPr>
          <w:rFonts w:cs="Arial"/>
        </w:rPr>
      </w:pPr>
    </w:p>
    <w:p w14:paraId="00E09859" w14:textId="77777777" w:rsidR="00B34B20" w:rsidRDefault="00B34B20" w:rsidP="0093067A">
      <w:pPr>
        <w:rPr>
          <w:rFonts w:cs="Arial"/>
        </w:rPr>
      </w:pPr>
    </w:p>
    <w:p w14:paraId="5EE2B240" w14:textId="77777777" w:rsidR="004825E6" w:rsidRDefault="004825E6" w:rsidP="0093067A">
      <w:pPr>
        <w:rPr>
          <w:rFonts w:cs="Arial"/>
        </w:rPr>
      </w:pPr>
    </w:p>
    <w:p w14:paraId="39DD2E6C" w14:textId="77777777" w:rsidR="004825E6" w:rsidRPr="0097088B" w:rsidRDefault="004825E6" w:rsidP="0093067A">
      <w:pPr>
        <w:rPr>
          <w:rFonts w:cs="Arial"/>
        </w:rPr>
      </w:pPr>
    </w:p>
    <w:tbl>
      <w:tblPr>
        <w:tblStyle w:val="TableGrid"/>
        <w:tblW w:w="0" w:type="auto"/>
        <w:tblLook w:val="04A0" w:firstRow="1" w:lastRow="0" w:firstColumn="1" w:lastColumn="0" w:noHBand="0" w:noVBand="1"/>
      </w:tblPr>
      <w:tblGrid>
        <w:gridCol w:w="2263"/>
        <w:gridCol w:w="7025"/>
      </w:tblGrid>
      <w:tr w:rsidR="008379A2" w14:paraId="106D0827" w14:textId="77777777" w:rsidTr="00274DEB">
        <w:tc>
          <w:tcPr>
            <w:tcW w:w="9288" w:type="dxa"/>
            <w:gridSpan w:val="2"/>
          </w:tcPr>
          <w:p w14:paraId="180845DE" w14:textId="6CCD88DF" w:rsidR="008379A2" w:rsidRPr="008379A2" w:rsidRDefault="008379A2" w:rsidP="008379A2">
            <w:pPr>
              <w:jc w:val="center"/>
              <w:rPr>
                <w:rFonts w:cs="Arial"/>
                <w:b/>
              </w:rPr>
            </w:pPr>
            <w:r w:rsidRPr="008379A2">
              <w:rPr>
                <w:rFonts w:cs="Arial"/>
                <w:b/>
              </w:rPr>
              <w:t>Appendices</w:t>
            </w:r>
          </w:p>
        </w:tc>
      </w:tr>
      <w:tr w:rsidR="008379A2" w14:paraId="31EF5697" w14:textId="77777777" w:rsidTr="008379A2">
        <w:tc>
          <w:tcPr>
            <w:tcW w:w="2263" w:type="dxa"/>
          </w:tcPr>
          <w:p w14:paraId="41DE83FA" w14:textId="247FE137" w:rsidR="008379A2" w:rsidRDefault="008379A2" w:rsidP="0093067A">
            <w:pPr>
              <w:rPr>
                <w:rFonts w:cs="Arial"/>
              </w:rPr>
            </w:pPr>
            <w:r>
              <w:rPr>
                <w:rFonts w:cs="Arial"/>
              </w:rPr>
              <w:t xml:space="preserve">Appendix </w:t>
            </w:r>
            <w:r w:rsidR="00FC7874">
              <w:rPr>
                <w:rFonts w:cs="Arial"/>
              </w:rPr>
              <w:t>1</w:t>
            </w:r>
          </w:p>
        </w:tc>
        <w:tc>
          <w:tcPr>
            <w:tcW w:w="7025" w:type="dxa"/>
          </w:tcPr>
          <w:p w14:paraId="1079F66C" w14:textId="1D3C7A44" w:rsidR="008379A2" w:rsidRDefault="005E6C8D" w:rsidP="0093067A">
            <w:pPr>
              <w:rPr>
                <w:rFonts w:cs="Arial"/>
              </w:rPr>
            </w:pPr>
            <w:r>
              <w:rPr>
                <w:rFonts w:cs="Arial"/>
              </w:rPr>
              <w:t>Minutes of determination from previous hearing</w:t>
            </w:r>
          </w:p>
        </w:tc>
      </w:tr>
      <w:tr w:rsidR="00FC7874" w14:paraId="6FEDA8BF" w14:textId="77777777" w:rsidTr="008379A2">
        <w:tc>
          <w:tcPr>
            <w:tcW w:w="2263" w:type="dxa"/>
          </w:tcPr>
          <w:p w14:paraId="52B8039E" w14:textId="2F00889A" w:rsidR="00FC7874" w:rsidRDefault="00FC7874" w:rsidP="0093067A">
            <w:pPr>
              <w:rPr>
                <w:rFonts w:cs="Arial"/>
              </w:rPr>
            </w:pPr>
            <w:r>
              <w:rPr>
                <w:rFonts w:cs="Arial"/>
              </w:rPr>
              <w:t>Appendix 2</w:t>
            </w:r>
          </w:p>
        </w:tc>
        <w:tc>
          <w:tcPr>
            <w:tcW w:w="7025" w:type="dxa"/>
          </w:tcPr>
          <w:p w14:paraId="786FB131" w14:textId="06CD909B" w:rsidR="00FC7874" w:rsidRDefault="005E6C8D" w:rsidP="0093067A">
            <w:pPr>
              <w:rPr>
                <w:rFonts w:cs="Arial"/>
              </w:rPr>
            </w:pPr>
            <w:r>
              <w:rPr>
                <w:rFonts w:cs="Arial"/>
              </w:rPr>
              <w:t>Email</w:t>
            </w:r>
            <w:r w:rsidR="008127D4">
              <w:rPr>
                <w:rFonts w:cs="Arial"/>
              </w:rPr>
              <w:t>(s)</w:t>
            </w:r>
            <w:r>
              <w:rPr>
                <w:rFonts w:cs="Arial"/>
              </w:rPr>
              <w:t xml:space="preserve"> requesting change.</w:t>
            </w:r>
          </w:p>
        </w:tc>
      </w:tr>
    </w:tbl>
    <w:p w14:paraId="3935587F" w14:textId="77777777" w:rsidR="004D2186" w:rsidRDefault="004D2186" w:rsidP="0093067A">
      <w:pPr>
        <w:rPr>
          <w:rFonts w:cs="Arial"/>
        </w:rPr>
      </w:pPr>
    </w:p>
    <w:p w14:paraId="1DB03B7D" w14:textId="0847AC63" w:rsidR="00F02C39" w:rsidRDefault="00F02C39" w:rsidP="0093067A">
      <w:pPr>
        <w:rPr>
          <w:rFonts w:cs="Arial"/>
        </w:rPr>
      </w:pPr>
    </w:p>
    <w:p w14:paraId="40ACF4A8" w14:textId="4632AEB1" w:rsidR="00B02565" w:rsidRDefault="00B02565" w:rsidP="0093067A">
      <w:pPr>
        <w:rPr>
          <w:rFonts w:cs="Arial"/>
        </w:rPr>
      </w:pPr>
    </w:p>
    <w:p w14:paraId="692DD556" w14:textId="08AD84B8" w:rsidR="00B02565" w:rsidRDefault="00693BD9" w:rsidP="0093067A">
      <w:pPr>
        <w:rPr>
          <w:rFonts w:cs="Arial"/>
          <w:b/>
          <w:bCs/>
        </w:rPr>
      </w:pPr>
      <w:r>
        <w:rPr>
          <w:rFonts w:cs="Arial"/>
          <w:b/>
          <w:bCs/>
        </w:rPr>
        <w:t xml:space="preserve">Appendix </w:t>
      </w:r>
      <w:r w:rsidR="00FC7874">
        <w:rPr>
          <w:rFonts w:cs="Arial"/>
          <w:b/>
          <w:bCs/>
        </w:rPr>
        <w:t>1</w:t>
      </w:r>
      <w:r>
        <w:rPr>
          <w:rFonts w:cs="Arial"/>
          <w:b/>
          <w:bCs/>
        </w:rPr>
        <w:t xml:space="preserve">: </w:t>
      </w:r>
      <w:r w:rsidR="005E6C8D">
        <w:rPr>
          <w:rFonts w:cs="Arial"/>
          <w:b/>
          <w:bCs/>
        </w:rPr>
        <w:t>Minutes of Committee</w:t>
      </w:r>
    </w:p>
    <w:p w14:paraId="6DA7393C" w14:textId="77777777" w:rsidR="005E6C8D" w:rsidRPr="00A12515" w:rsidRDefault="005E6C8D" w:rsidP="005E6C8D">
      <w:pPr>
        <w:rPr>
          <w:b/>
          <w:sz w:val="32"/>
          <w:szCs w:val="32"/>
        </w:rPr>
      </w:pPr>
      <w:r w:rsidRPr="005651B2">
        <w:rPr>
          <w:b/>
          <w:sz w:val="32"/>
          <w:szCs w:val="32"/>
        </w:rPr>
        <w:t xml:space="preserve">Minutes of a meeting </w:t>
      </w:r>
      <w:r w:rsidRPr="005651B2">
        <w:rPr>
          <w:rFonts w:cs="Arial"/>
          <w:b/>
          <w:sz w:val="32"/>
          <w:szCs w:val="32"/>
        </w:rPr>
        <w:t xml:space="preserve">of the </w:t>
      </w:r>
    </w:p>
    <w:p w14:paraId="434BA0F1" w14:textId="77777777" w:rsidR="005E6C8D" w:rsidRPr="005651B2" w:rsidRDefault="005E6C8D" w:rsidP="005E6C8D">
      <w:pPr>
        <w:rPr>
          <w:b/>
          <w:sz w:val="32"/>
          <w:szCs w:val="32"/>
        </w:rPr>
      </w:pPr>
      <w:r w:rsidRPr="005651B2">
        <w:rPr>
          <w:b/>
          <w:sz w:val="32"/>
          <w:szCs w:val="32"/>
        </w:rPr>
        <w:fldChar w:fldCharType="begin"/>
      </w:r>
      <w:r w:rsidRPr="005651B2">
        <w:rPr>
          <w:b/>
          <w:sz w:val="32"/>
          <w:szCs w:val="32"/>
        </w:rPr>
        <w:instrText xml:space="preserve"> DOCPROPERTY  COMMITTEENAME  \* MERGEFORMAT </w:instrText>
      </w:r>
      <w:r w:rsidRPr="005651B2">
        <w:rPr>
          <w:b/>
          <w:sz w:val="32"/>
          <w:szCs w:val="32"/>
        </w:rPr>
        <w:fldChar w:fldCharType="separate"/>
      </w:r>
      <w:r w:rsidRPr="005651B2">
        <w:rPr>
          <w:b/>
          <w:sz w:val="32"/>
          <w:szCs w:val="32"/>
        </w:rPr>
        <w:t>General Purposes Licensing Casework Sub-Committee</w:t>
      </w:r>
      <w:r w:rsidRPr="005651B2">
        <w:rPr>
          <w:b/>
          <w:sz w:val="32"/>
          <w:szCs w:val="32"/>
        </w:rPr>
        <w:fldChar w:fldCharType="end"/>
      </w:r>
    </w:p>
    <w:p w14:paraId="476A17FD" w14:textId="77777777" w:rsidR="005E6C8D" w:rsidRPr="005651B2" w:rsidRDefault="005E6C8D" w:rsidP="005E6C8D">
      <w:pPr>
        <w:rPr>
          <w:b/>
          <w:sz w:val="32"/>
          <w:szCs w:val="32"/>
        </w:rPr>
      </w:pPr>
      <w:r w:rsidRPr="005651B2">
        <w:rPr>
          <w:rFonts w:cs="Arial"/>
          <w:b/>
          <w:sz w:val="32"/>
          <w:szCs w:val="32"/>
        </w:rPr>
        <w:t>on</w:t>
      </w:r>
      <w:r w:rsidRPr="005651B2">
        <w:rPr>
          <w:b/>
          <w:sz w:val="32"/>
          <w:szCs w:val="32"/>
        </w:rPr>
        <w:t xml:space="preserve"> </w:t>
      </w:r>
      <w:r w:rsidRPr="005651B2">
        <w:rPr>
          <w:b/>
          <w:sz w:val="32"/>
          <w:szCs w:val="32"/>
        </w:rPr>
        <w:fldChar w:fldCharType="begin"/>
      </w:r>
      <w:r w:rsidRPr="005651B2">
        <w:rPr>
          <w:b/>
          <w:sz w:val="32"/>
          <w:szCs w:val="32"/>
        </w:rPr>
        <w:instrText xml:space="preserve"> DOCPROPERTY "MeetingDate"  \* MERGEFORMAT </w:instrText>
      </w:r>
      <w:r w:rsidRPr="005651B2">
        <w:rPr>
          <w:b/>
          <w:sz w:val="32"/>
          <w:szCs w:val="32"/>
        </w:rPr>
        <w:fldChar w:fldCharType="separate"/>
      </w:r>
      <w:r w:rsidRPr="005651B2">
        <w:rPr>
          <w:b/>
          <w:sz w:val="32"/>
          <w:szCs w:val="32"/>
        </w:rPr>
        <w:t>Monday 2 September 2024</w:t>
      </w:r>
      <w:r w:rsidRPr="005651B2">
        <w:rPr>
          <w:b/>
          <w:sz w:val="32"/>
          <w:szCs w:val="32"/>
        </w:rPr>
        <w:fldChar w:fldCharType="end"/>
      </w:r>
      <w:r w:rsidRPr="005651B2">
        <w:rPr>
          <w:b/>
          <w:sz w:val="32"/>
          <w:szCs w:val="32"/>
        </w:rPr>
        <w:t xml:space="preserve"> </w:t>
      </w:r>
    </w:p>
    <w:p w14:paraId="4C2727F7" w14:textId="77777777" w:rsidR="005E6C8D" w:rsidRPr="00380E9A" w:rsidRDefault="005E6C8D" w:rsidP="005E6C8D"/>
    <w:p w14:paraId="15350D85" w14:textId="77777777" w:rsidR="005E6C8D" w:rsidRPr="005651B2" w:rsidRDefault="005E6C8D" w:rsidP="005E6C8D">
      <w:pPr>
        <w:spacing w:before="240" w:after="60"/>
        <w:rPr>
          <w:b/>
          <w:sz w:val="28"/>
        </w:rPr>
      </w:pPr>
      <w:r w:rsidRPr="005651B2">
        <w:rPr>
          <w:b/>
          <w:sz w:val="28"/>
        </w:rPr>
        <w:t>Committee members present:</w:t>
      </w:r>
    </w:p>
    <w:tbl>
      <w:tblPr>
        <w:tblW w:w="9753" w:type="dxa"/>
        <w:tblLook w:val="04A0" w:firstRow="1" w:lastRow="0" w:firstColumn="1" w:lastColumn="0" w:noHBand="0" w:noVBand="1"/>
      </w:tblPr>
      <w:tblGrid>
        <w:gridCol w:w="5218"/>
        <w:gridCol w:w="4535"/>
      </w:tblGrid>
      <w:tr w:rsidR="005E6C8D" w14:paraId="70EB23D5" w14:textId="77777777" w:rsidTr="00FE1D0A">
        <w:trPr>
          <w:hidden/>
        </w:trPr>
        <w:tc>
          <w:tcPr>
            <w:tcW w:w="5218" w:type="dxa"/>
            <w:shd w:val="clear" w:color="auto" w:fill="auto"/>
            <w:vAlign w:val="center"/>
          </w:tcPr>
          <w:p w14:paraId="2F54522D" w14:textId="77777777" w:rsidR="005E6C8D" w:rsidRPr="00274988" w:rsidRDefault="005E6C8D" w:rsidP="00FE1D0A">
            <w:pPr>
              <w:rPr>
                <w:vanish/>
              </w:rPr>
            </w:pPr>
            <w:r>
              <w:rPr>
                <w:vanish/>
              </w:rPr>
              <w:fldChar w:fldCharType="begin"/>
            </w:r>
            <w:r>
              <w:rPr>
                <w:vanish/>
              </w:rPr>
              <w:instrText xml:space="preserve">DOCVARIABLE "StrictMembersPresentCllrShortRolesSubsCells"  \* MERGEFORMAT </w:instrText>
            </w:r>
            <w:r>
              <w:rPr>
                <w:vanish/>
              </w:rPr>
              <w:fldChar w:fldCharType="separate"/>
            </w:r>
            <w:r>
              <w:rPr>
                <w:vanish/>
              </w:rPr>
              <w:t xml:space="preserve"> </w:t>
            </w:r>
            <w:r>
              <w:rPr>
                <w:vanish/>
              </w:rPr>
              <w:fldChar w:fldCharType="end"/>
            </w:r>
            <w:r>
              <w:t>Councillor Mundy (Chair)</w:t>
            </w:r>
          </w:p>
        </w:tc>
        <w:tc>
          <w:tcPr>
            <w:tcW w:w="4535" w:type="dxa"/>
            <w:shd w:val="clear" w:color="auto" w:fill="auto"/>
            <w:vAlign w:val="center"/>
          </w:tcPr>
          <w:p w14:paraId="50E15E4A" w14:textId="77777777" w:rsidR="005E6C8D" w:rsidRPr="00274988" w:rsidRDefault="005E6C8D" w:rsidP="00FE1D0A">
            <w:r>
              <w:t xml:space="preserve">Councillor </w:t>
            </w:r>
            <w:proofErr w:type="spellStart"/>
            <w:r>
              <w:t>Ottino</w:t>
            </w:r>
            <w:proofErr w:type="spellEnd"/>
          </w:p>
        </w:tc>
      </w:tr>
      <w:tr w:rsidR="005E6C8D" w14:paraId="5C2DE891" w14:textId="77777777" w:rsidTr="00FE1D0A">
        <w:tc>
          <w:tcPr>
            <w:tcW w:w="5218" w:type="dxa"/>
            <w:shd w:val="clear" w:color="auto" w:fill="auto"/>
            <w:vAlign w:val="center"/>
          </w:tcPr>
          <w:p w14:paraId="07CA9240" w14:textId="77777777" w:rsidR="005E6C8D" w:rsidRPr="00274988" w:rsidRDefault="005E6C8D" w:rsidP="00FE1D0A">
            <w:pPr>
              <w:rPr>
                <w:vanish/>
              </w:rPr>
            </w:pPr>
            <w:r>
              <w:t>Councillor Muddiman</w:t>
            </w:r>
          </w:p>
        </w:tc>
        <w:tc>
          <w:tcPr>
            <w:tcW w:w="4535" w:type="dxa"/>
            <w:shd w:val="clear" w:color="auto" w:fill="auto"/>
            <w:vAlign w:val="center"/>
          </w:tcPr>
          <w:p w14:paraId="01595C13" w14:textId="77777777" w:rsidR="005E6C8D" w:rsidRPr="00274988" w:rsidRDefault="005E6C8D" w:rsidP="00FE1D0A"/>
        </w:tc>
      </w:tr>
    </w:tbl>
    <w:p w14:paraId="683FEE32" w14:textId="77777777" w:rsidR="005E6C8D" w:rsidRPr="005651B2" w:rsidRDefault="005E6C8D" w:rsidP="005E6C8D">
      <w:pPr>
        <w:spacing w:before="240" w:after="60"/>
        <w:rPr>
          <w:b/>
          <w:sz w:val="28"/>
        </w:rPr>
      </w:pPr>
      <w:r w:rsidRPr="005651B2">
        <w:rPr>
          <w:b/>
          <w:sz w:val="28"/>
        </w:rPr>
        <w:t xml:space="preserve">Officers present for all or part of the meeting: </w:t>
      </w:r>
    </w:p>
    <w:p w14:paraId="77A1F291" w14:textId="77777777" w:rsidR="005E6C8D" w:rsidRDefault="005E6C8D" w:rsidP="005E6C8D">
      <w:pPr>
        <w:spacing w:after="0"/>
      </w:pPr>
      <w:r>
        <w:fldChar w:fldCharType="begin"/>
      </w:r>
      <w:r>
        <w:instrText xml:space="preserve">DOCVARIABLE "StafforOfficerInattendanceTitleRows"  \* MERGEFORMAT </w:instrText>
      </w:r>
      <w:r>
        <w:fldChar w:fldCharType="separate"/>
      </w:r>
      <w:r>
        <w:t>Tazafar Asghar, Legal Advisor</w:t>
      </w:r>
    </w:p>
    <w:p w14:paraId="1AE38EED" w14:textId="77777777" w:rsidR="005E6C8D" w:rsidRDefault="005E6C8D" w:rsidP="005E6C8D">
      <w:pPr>
        <w:spacing w:after="0"/>
      </w:pPr>
      <w:r>
        <w:t>Matthew Stead, Senior Licensing Officer</w:t>
      </w:r>
    </w:p>
    <w:p w14:paraId="26EEE374" w14:textId="77777777" w:rsidR="005E6C8D" w:rsidRDefault="005E6C8D" w:rsidP="005E6C8D">
      <w:pPr>
        <w:spacing w:after="0"/>
      </w:pPr>
      <w:r>
        <w:t>Richard Masters, Senior Licensing Compliance Officer</w:t>
      </w:r>
    </w:p>
    <w:p w14:paraId="3598AC50" w14:textId="77777777" w:rsidR="005E6C8D" w:rsidRDefault="005E6C8D" w:rsidP="005E6C8D">
      <w:pPr>
        <w:spacing w:after="0"/>
      </w:pPr>
      <w:r>
        <w:t xml:space="preserve">Celeste </w:t>
      </w:r>
      <w:proofErr w:type="spellStart"/>
      <w:r>
        <w:t>Reyeslao</w:t>
      </w:r>
      <w:proofErr w:type="spellEnd"/>
      <w:r>
        <w:t>, Committee and Member Services Officer</w:t>
      </w:r>
      <w:r>
        <w:fldChar w:fldCharType="end"/>
      </w:r>
    </w:p>
    <w:p w14:paraId="3D17445E" w14:textId="77777777" w:rsidR="005E6C8D" w:rsidRPr="005651B2" w:rsidRDefault="005E6C8D" w:rsidP="005E6C8D">
      <w:pPr>
        <w:spacing w:before="240" w:after="60"/>
        <w:rPr>
          <w:b/>
          <w:sz w:val="28"/>
        </w:rPr>
      </w:pPr>
      <w:r w:rsidRPr="005651B2">
        <w:rPr>
          <w:b/>
          <w:sz w:val="28"/>
        </w:rPr>
        <w:t>Apologies:</w:t>
      </w:r>
    </w:p>
    <w:p w14:paraId="40A692AE" w14:textId="77777777" w:rsidR="005E6C8D" w:rsidRPr="005651B2" w:rsidRDefault="005E6C8D" w:rsidP="005E6C8D">
      <w:proofErr w:type="gramStart"/>
      <w:r>
        <w:t>None.</w:t>
      </w:r>
      <w:r w:rsidRPr="005651B2">
        <w:t>.</w:t>
      </w:r>
      <w:proofErr w:type="gramEnd"/>
    </w:p>
    <w:p w14:paraId="5155F075" w14:textId="77777777" w:rsidR="005E6C8D" w:rsidRPr="00FC1B4D" w:rsidRDefault="005E6C8D" w:rsidP="005E6C8D"/>
    <w:p w14:paraId="68F68AC6" w14:textId="77777777" w:rsidR="005E6C8D" w:rsidRDefault="005E6C8D" w:rsidP="005E6C8D">
      <w:pPr>
        <w:rPr>
          <w:vanish/>
        </w:rPr>
      </w:pPr>
      <w:r>
        <w:rPr>
          <w:vanish/>
        </w:rPr>
        <w:t>&lt;AI1&gt;</w:t>
      </w:r>
    </w:p>
    <w:p w14:paraId="5536B8B4" w14:textId="77777777" w:rsidR="005E6C8D" w:rsidRPr="0010246A" w:rsidRDefault="005E6C8D" w:rsidP="005E6C8D">
      <w:pPr>
        <w:pStyle w:val="NoSpacing"/>
        <w:numPr>
          <w:ilvl w:val="0"/>
          <w:numId w:val="35"/>
        </w:numPr>
        <w:spacing w:before="240"/>
        <w:ind w:left="560" w:hanging="567"/>
        <w:rPr>
          <w:rFonts w:ascii="Arial Bold" w:hAnsi="Arial Bold"/>
          <w:b/>
          <w:sz w:val="28"/>
          <w:szCs w:val="28"/>
        </w:rPr>
      </w:pPr>
      <w:r>
        <w:rPr>
          <w:rFonts w:ascii="Arial Bold" w:hAnsi="Arial Bold"/>
          <w:b/>
          <w:sz w:val="28"/>
          <w:szCs w:val="28"/>
          <w:bdr w:val="nil"/>
        </w:rPr>
        <w:t>Declarations of Interest</w:t>
      </w:r>
      <w:r w:rsidRPr="0010246A">
        <w:rPr>
          <w:rFonts w:ascii="Arial Bold" w:hAnsi="Arial Bold"/>
          <w:b/>
          <w:sz w:val="28"/>
          <w:szCs w:val="28"/>
        </w:rPr>
        <w:t xml:space="preserve"> </w:t>
      </w:r>
    </w:p>
    <w:p w14:paraId="2F58A503" w14:textId="77777777" w:rsidR="005E6C8D" w:rsidRDefault="005E6C8D" w:rsidP="005E6C8D">
      <w:r>
        <w:t>None.</w:t>
      </w:r>
    </w:p>
    <w:p w14:paraId="76BF32D6" w14:textId="77777777" w:rsidR="005E6C8D" w:rsidRDefault="005E6C8D" w:rsidP="005E6C8D">
      <w:pPr>
        <w:rPr>
          <w:vanish/>
        </w:rPr>
      </w:pPr>
      <w:r>
        <w:rPr>
          <w:vanish/>
        </w:rPr>
        <w:t>&lt;/AI1&gt;</w:t>
      </w:r>
    </w:p>
    <w:p w14:paraId="200E3846" w14:textId="77777777" w:rsidR="005E6C8D" w:rsidRDefault="005E6C8D" w:rsidP="005E6C8D">
      <w:pPr>
        <w:rPr>
          <w:vanish/>
        </w:rPr>
      </w:pPr>
      <w:r>
        <w:rPr>
          <w:vanish/>
        </w:rPr>
        <w:t>&lt;AI2&gt;</w:t>
      </w:r>
    </w:p>
    <w:p w14:paraId="5C91AB12" w14:textId="77777777" w:rsidR="005E6C8D" w:rsidRPr="0010246A" w:rsidRDefault="005E6C8D" w:rsidP="005E6C8D">
      <w:pPr>
        <w:pStyle w:val="NoSpacing"/>
        <w:numPr>
          <w:ilvl w:val="0"/>
          <w:numId w:val="36"/>
        </w:numPr>
        <w:spacing w:before="240"/>
        <w:ind w:left="560" w:hanging="567"/>
        <w:rPr>
          <w:rFonts w:ascii="Arial Bold" w:hAnsi="Arial Bold"/>
          <w:b/>
          <w:sz w:val="28"/>
          <w:szCs w:val="28"/>
        </w:rPr>
      </w:pPr>
      <w:r>
        <w:rPr>
          <w:rFonts w:ascii="Arial Bold" w:hAnsi="Arial Bold"/>
          <w:b/>
          <w:sz w:val="28"/>
          <w:szCs w:val="28"/>
          <w:bdr w:val="nil"/>
        </w:rPr>
        <w:t xml:space="preserve">Procedure to be followed at the </w:t>
      </w:r>
      <w:proofErr w:type="gramStart"/>
      <w:r>
        <w:rPr>
          <w:rFonts w:ascii="Arial Bold" w:hAnsi="Arial Bold"/>
          <w:b/>
          <w:sz w:val="28"/>
          <w:szCs w:val="28"/>
          <w:bdr w:val="nil"/>
        </w:rPr>
        <w:t>meeting</w:t>
      </w:r>
      <w:proofErr w:type="gramEnd"/>
      <w:r w:rsidRPr="0010246A">
        <w:rPr>
          <w:rFonts w:ascii="Arial Bold" w:hAnsi="Arial Bold"/>
          <w:b/>
          <w:sz w:val="28"/>
          <w:szCs w:val="28"/>
        </w:rPr>
        <w:t xml:space="preserve"> </w:t>
      </w:r>
    </w:p>
    <w:p w14:paraId="5B5CC2FB" w14:textId="77777777" w:rsidR="005E6C8D" w:rsidRDefault="005E6C8D" w:rsidP="005E6C8D">
      <w:r>
        <w:lastRenderedPageBreak/>
        <w:t>The Sub-Committee noted the procedure for the hearings, the street trading policy, and the policy on the relevance of warnings, offences, cautions and convictions.</w:t>
      </w:r>
    </w:p>
    <w:p w14:paraId="10B0F12D" w14:textId="77777777" w:rsidR="005E6C8D" w:rsidRDefault="005E6C8D" w:rsidP="005E6C8D">
      <w:pPr>
        <w:rPr>
          <w:vanish/>
        </w:rPr>
      </w:pPr>
      <w:r>
        <w:rPr>
          <w:vanish/>
        </w:rPr>
        <w:t>&lt;/AI2&gt;</w:t>
      </w:r>
    </w:p>
    <w:p w14:paraId="6F210497" w14:textId="77777777" w:rsidR="005E6C8D" w:rsidRDefault="005E6C8D" w:rsidP="005E6C8D">
      <w:pPr>
        <w:rPr>
          <w:vanish/>
        </w:rPr>
      </w:pPr>
      <w:r>
        <w:rPr>
          <w:vanish/>
        </w:rPr>
        <w:t>&lt;AI3&gt;</w:t>
      </w:r>
    </w:p>
    <w:p w14:paraId="60BA0C5D" w14:textId="77777777" w:rsidR="005E6C8D" w:rsidRPr="0010246A" w:rsidRDefault="005E6C8D" w:rsidP="005E6C8D">
      <w:pPr>
        <w:pStyle w:val="NoSpacing"/>
        <w:numPr>
          <w:ilvl w:val="0"/>
          <w:numId w:val="37"/>
        </w:numPr>
        <w:spacing w:before="240"/>
        <w:ind w:left="560" w:hanging="567"/>
        <w:rPr>
          <w:rFonts w:ascii="Arial Bold" w:hAnsi="Arial Bold"/>
          <w:b/>
          <w:sz w:val="28"/>
          <w:szCs w:val="28"/>
        </w:rPr>
      </w:pPr>
      <w:r>
        <w:rPr>
          <w:rFonts w:ascii="Arial Bold" w:hAnsi="Arial Bold"/>
          <w:b/>
          <w:sz w:val="28"/>
          <w:szCs w:val="28"/>
          <w:bdr w:val="nil"/>
        </w:rPr>
        <w:t>Minutes</w:t>
      </w:r>
      <w:r w:rsidRPr="0010246A">
        <w:rPr>
          <w:rFonts w:ascii="Arial Bold" w:hAnsi="Arial Bold"/>
          <w:b/>
          <w:sz w:val="28"/>
          <w:szCs w:val="28"/>
        </w:rPr>
        <w:t xml:space="preserve"> </w:t>
      </w:r>
    </w:p>
    <w:p w14:paraId="5C794132" w14:textId="77777777" w:rsidR="005E6C8D" w:rsidRDefault="005E6C8D" w:rsidP="005E6C8D">
      <w:r>
        <w:t>The Sub-Committee resolved to approve the minutes of the meeting held on 22 July 2024 as a true and accurate record.</w:t>
      </w:r>
    </w:p>
    <w:p w14:paraId="32C70D35" w14:textId="77777777" w:rsidR="005E6C8D" w:rsidRDefault="005E6C8D" w:rsidP="005E6C8D">
      <w:pPr>
        <w:rPr>
          <w:vanish/>
        </w:rPr>
      </w:pPr>
      <w:r>
        <w:rPr>
          <w:vanish/>
        </w:rPr>
        <w:t>&lt;/AI3&gt;</w:t>
      </w:r>
    </w:p>
    <w:p w14:paraId="19526F44" w14:textId="77777777" w:rsidR="005E6C8D" w:rsidRDefault="005E6C8D" w:rsidP="005E6C8D">
      <w:pPr>
        <w:rPr>
          <w:vanish/>
        </w:rPr>
      </w:pPr>
      <w:r>
        <w:rPr>
          <w:vanish/>
        </w:rPr>
        <w:t>&lt;AI4&gt;</w:t>
      </w:r>
    </w:p>
    <w:p w14:paraId="0A834259" w14:textId="77777777" w:rsidR="005E6C8D" w:rsidRPr="0010246A" w:rsidRDefault="005E6C8D" w:rsidP="005E6C8D">
      <w:pPr>
        <w:pStyle w:val="NoSpacing"/>
        <w:numPr>
          <w:ilvl w:val="0"/>
          <w:numId w:val="38"/>
        </w:numPr>
        <w:spacing w:before="240"/>
        <w:ind w:left="560" w:hanging="567"/>
        <w:rPr>
          <w:rFonts w:ascii="Arial Bold" w:hAnsi="Arial Bold"/>
          <w:b/>
          <w:sz w:val="28"/>
          <w:szCs w:val="28"/>
        </w:rPr>
      </w:pPr>
      <w:r>
        <w:rPr>
          <w:rFonts w:ascii="Arial Bold" w:hAnsi="Arial Bold"/>
          <w:b/>
          <w:sz w:val="28"/>
          <w:szCs w:val="28"/>
          <w:bdr w:val="nil"/>
        </w:rPr>
        <w:t>Street Trading application for Lucy Hedges (Full of Beans)</w:t>
      </w:r>
      <w:r w:rsidRPr="0010246A">
        <w:rPr>
          <w:rFonts w:ascii="Arial Bold" w:hAnsi="Arial Bold"/>
          <w:b/>
          <w:sz w:val="28"/>
          <w:szCs w:val="28"/>
        </w:rPr>
        <w:t xml:space="preserve"> </w:t>
      </w:r>
    </w:p>
    <w:p w14:paraId="6894FE1C" w14:textId="77777777" w:rsidR="005E6C8D" w:rsidRDefault="005E6C8D" w:rsidP="005E6C8D">
      <w:pPr>
        <w:contextualSpacing/>
        <w:rPr>
          <w:rFonts w:cs="Arial"/>
        </w:rPr>
      </w:pPr>
      <w:r w:rsidRPr="002671E4">
        <w:rPr>
          <w:rFonts w:cs="Arial"/>
        </w:rPr>
        <w:t>The Head of Planning and Regulations had submitted a report to inform the determination of Ms Lucy Hedges (Full of Beans) street trading application.</w:t>
      </w:r>
    </w:p>
    <w:p w14:paraId="36E577B3" w14:textId="77777777" w:rsidR="005E6C8D" w:rsidRDefault="005E6C8D" w:rsidP="005E6C8D">
      <w:pPr>
        <w:contextualSpacing/>
        <w:rPr>
          <w:rFonts w:cs="Arial"/>
        </w:rPr>
      </w:pPr>
      <w:r w:rsidRPr="002671E4">
        <w:rPr>
          <w:rFonts w:cs="Arial"/>
        </w:rPr>
        <w:t xml:space="preserve">Lucy Hedges (applicant), Jack </w:t>
      </w:r>
      <w:proofErr w:type="spellStart"/>
      <w:r w:rsidRPr="002671E4">
        <w:rPr>
          <w:rFonts w:cs="Arial"/>
        </w:rPr>
        <w:t>Richens</w:t>
      </w:r>
      <w:proofErr w:type="spellEnd"/>
      <w:r w:rsidRPr="002671E4">
        <w:rPr>
          <w:rFonts w:cs="Arial"/>
        </w:rPr>
        <w:t xml:space="preserve"> (partner) and Matthew Stead, Senior Licensing Officer, joined the meeting.</w:t>
      </w:r>
    </w:p>
    <w:p w14:paraId="1C2DEDB7" w14:textId="77777777" w:rsidR="005E6C8D" w:rsidRDefault="005E6C8D" w:rsidP="005E6C8D">
      <w:pPr>
        <w:contextualSpacing/>
        <w:rPr>
          <w:rFonts w:cs="Arial"/>
        </w:rPr>
      </w:pPr>
    </w:p>
    <w:p w14:paraId="2905373C" w14:textId="77777777" w:rsidR="005E6C8D" w:rsidRDefault="005E6C8D" w:rsidP="005E6C8D">
      <w:pPr>
        <w:contextualSpacing/>
        <w:rPr>
          <w:rFonts w:cs="Arial"/>
        </w:rPr>
      </w:pPr>
      <w:r w:rsidRPr="002671E4">
        <w:rPr>
          <w:rFonts w:cs="Arial"/>
        </w:rPr>
        <w:t xml:space="preserve">The Chair outlined the hearing procedures and requested that all attendees introduce themselves. </w:t>
      </w:r>
    </w:p>
    <w:p w14:paraId="4824C3A6" w14:textId="77777777" w:rsidR="005E6C8D" w:rsidRDefault="005E6C8D" w:rsidP="005E6C8D">
      <w:pPr>
        <w:contextualSpacing/>
        <w:rPr>
          <w:rFonts w:cs="Arial"/>
        </w:rPr>
      </w:pPr>
    </w:p>
    <w:p w14:paraId="4572A2C0" w14:textId="77777777" w:rsidR="005E6C8D" w:rsidRDefault="005E6C8D" w:rsidP="005E6C8D">
      <w:pPr>
        <w:contextualSpacing/>
        <w:rPr>
          <w:rFonts w:cs="Arial"/>
        </w:rPr>
      </w:pPr>
      <w:r w:rsidRPr="002671E4">
        <w:rPr>
          <w:rFonts w:cs="Arial"/>
        </w:rPr>
        <w:t xml:space="preserve">The Senior Licensing Officer presented a summary of the report, stating that Ms Hedge's application was for a peripatetic coffee bike selling </w:t>
      </w:r>
      <w:r>
        <w:rPr>
          <w:rFonts w:cs="Arial"/>
        </w:rPr>
        <w:t>coffee</w:t>
      </w:r>
      <w:r w:rsidRPr="002671E4">
        <w:rPr>
          <w:rFonts w:cs="Arial"/>
        </w:rPr>
        <w:t xml:space="preserve"> and edible goods. This unique application had not previously been considered in this </w:t>
      </w:r>
      <w:proofErr w:type="gramStart"/>
      <w:r w:rsidRPr="002671E4">
        <w:rPr>
          <w:rFonts w:cs="Arial"/>
        </w:rPr>
        <w:t>authority, and</w:t>
      </w:r>
      <w:proofErr w:type="gramEnd"/>
      <w:r w:rsidRPr="002671E4">
        <w:rPr>
          <w:rFonts w:cs="Arial"/>
        </w:rPr>
        <w:t xml:space="preserve"> did not comply with the trading model outlined in the current Street Trading Policy. For this reason, the Sub-Committee was asked to determine the application and whether it wished to make an exception.</w:t>
      </w:r>
    </w:p>
    <w:p w14:paraId="59DA8BB8" w14:textId="77777777" w:rsidR="005E6C8D" w:rsidRDefault="005E6C8D" w:rsidP="005E6C8D">
      <w:pPr>
        <w:contextualSpacing/>
        <w:rPr>
          <w:rFonts w:cs="Arial"/>
        </w:rPr>
      </w:pPr>
    </w:p>
    <w:p w14:paraId="302F083B" w14:textId="77777777" w:rsidR="005E6C8D" w:rsidRDefault="005E6C8D" w:rsidP="005E6C8D">
      <w:pPr>
        <w:contextualSpacing/>
        <w:rPr>
          <w:rFonts w:cs="Arial"/>
        </w:rPr>
      </w:pPr>
      <w:r w:rsidRPr="002671E4">
        <w:rPr>
          <w:rFonts w:cs="Arial"/>
        </w:rPr>
        <w:t xml:space="preserve">He stated that the application involved five trading locations detailed in paragraph 5 of the submitted report. It was highlighted that the proposed locations had not been previously occupied, and that the proposed period of operation for four locations would exceed the </w:t>
      </w:r>
      <w:proofErr w:type="gramStart"/>
      <w:r w:rsidRPr="002671E4">
        <w:rPr>
          <w:rFonts w:cs="Arial"/>
        </w:rPr>
        <w:t>twenty minute</w:t>
      </w:r>
      <w:proofErr w:type="gramEnd"/>
      <w:r w:rsidRPr="002671E4">
        <w:rPr>
          <w:rFonts w:cs="Arial"/>
        </w:rPr>
        <w:t xml:space="preserve"> maximum time for a peripatetic trader to trade in a location. It was noted that this would be a considerable change in policy.</w:t>
      </w:r>
    </w:p>
    <w:p w14:paraId="175B98FA" w14:textId="77777777" w:rsidR="005E6C8D" w:rsidRDefault="005E6C8D" w:rsidP="005E6C8D">
      <w:pPr>
        <w:contextualSpacing/>
        <w:rPr>
          <w:rFonts w:cs="Arial"/>
        </w:rPr>
      </w:pPr>
    </w:p>
    <w:p w14:paraId="3008649F" w14:textId="77777777" w:rsidR="005E6C8D" w:rsidRDefault="005E6C8D" w:rsidP="005E6C8D">
      <w:pPr>
        <w:contextualSpacing/>
        <w:rPr>
          <w:rFonts w:cs="Arial"/>
        </w:rPr>
      </w:pPr>
      <w:r w:rsidRPr="002671E4">
        <w:rPr>
          <w:rFonts w:cs="Arial"/>
        </w:rPr>
        <w:t>The Sub-Committee was advised that the application was referred for the consideration of the panel as it did not comply with the Council's current Street Trading policy, however it was the policy of the Council to determine all street trading applications.</w:t>
      </w:r>
    </w:p>
    <w:p w14:paraId="4D08EB46" w14:textId="77777777" w:rsidR="005E6C8D" w:rsidRDefault="005E6C8D" w:rsidP="005E6C8D">
      <w:pPr>
        <w:contextualSpacing/>
        <w:rPr>
          <w:rFonts w:cs="Arial"/>
        </w:rPr>
      </w:pPr>
    </w:p>
    <w:p w14:paraId="6A36A927" w14:textId="77777777" w:rsidR="005E6C8D" w:rsidRPr="002671E4" w:rsidRDefault="005E6C8D" w:rsidP="005E6C8D">
      <w:pPr>
        <w:contextualSpacing/>
        <w:rPr>
          <w:rFonts w:cs="Arial"/>
        </w:rPr>
      </w:pPr>
      <w:r w:rsidRPr="002671E4">
        <w:rPr>
          <w:rFonts w:cs="Arial"/>
        </w:rPr>
        <w:t>In response to questions from the Sub-Committee, the Licensing Officer made the following points:</w:t>
      </w:r>
    </w:p>
    <w:p w14:paraId="4E043D5F" w14:textId="77777777" w:rsidR="005E6C8D" w:rsidRPr="002671E4" w:rsidRDefault="005E6C8D" w:rsidP="005E6C8D">
      <w:pPr>
        <w:numPr>
          <w:ilvl w:val="0"/>
          <w:numId w:val="39"/>
        </w:numPr>
        <w:contextualSpacing/>
        <w:textAlignment w:val="center"/>
        <w:rPr>
          <w:rFonts w:ascii="Calibri" w:hAnsi="Calibri" w:cs="Calibri"/>
          <w:sz w:val="22"/>
          <w:szCs w:val="22"/>
        </w:rPr>
      </w:pPr>
      <w:r w:rsidRPr="002671E4">
        <w:rPr>
          <w:rFonts w:cs="Arial"/>
        </w:rPr>
        <w:t xml:space="preserve">Attempts were made to contact the leisure provider regarding the </w:t>
      </w:r>
      <w:proofErr w:type="gramStart"/>
      <w:r w:rsidRPr="002671E4">
        <w:rPr>
          <w:rFonts w:cs="Arial"/>
        </w:rPr>
        <w:t>application,</w:t>
      </w:r>
      <w:proofErr w:type="gramEnd"/>
      <w:r w:rsidRPr="002671E4">
        <w:rPr>
          <w:rFonts w:cs="Arial"/>
        </w:rPr>
        <w:t xml:space="preserve"> however no response </w:t>
      </w:r>
      <w:r>
        <w:rPr>
          <w:rFonts w:cs="Arial"/>
        </w:rPr>
        <w:t xml:space="preserve">was </w:t>
      </w:r>
      <w:r w:rsidRPr="002671E4">
        <w:rPr>
          <w:rFonts w:cs="Arial"/>
        </w:rPr>
        <w:t>received. The leisure provider had the opportunity to respond during the consultation period.</w:t>
      </w:r>
    </w:p>
    <w:p w14:paraId="13B33730" w14:textId="77777777" w:rsidR="005E6C8D" w:rsidRPr="002671E4" w:rsidRDefault="005E6C8D" w:rsidP="005E6C8D">
      <w:pPr>
        <w:numPr>
          <w:ilvl w:val="0"/>
          <w:numId w:val="39"/>
        </w:numPr>
        <w:contextualSpacing/>
        <w:textAlignment w:val="center"/>
        <w:rPr>
          <w:rFonts w:ascii="Calibri" w:hAnsi="Calibri" w:cs="Calibri"/>
          <w:sz w:val="22"/>
          <w:szCs w:val="22"/>
        </w:rPr>
      </w:pPr>
      <w:r w:rsidRPr="002671E4">
        <w:rPr>
          <w:rFonts w:cs="Arial"/>
        </w:rPr>
        <w:t xml:space="preserve">The Sub-Committee could grant Ms </w:t>
      </w:r>
      <w:r>
        <w:rPr>
          <w:rFonts w:cs="Arial"/>
        </w:rPr>
        <w:t>H</w:t>
      </w:r>
      <w:r w:rsidRPr="002671E4">
        <w:rPr>
          <w:rFonts w:cs="Arial"/>
        </w:rPr>
        <w:t xml:space="preserve">edges a peripatetic licence or a static consent specifying a defined time and location. </w:t>
      </w:r>
    </w:p>
    <w:p w14:paraId="5D58DF76" w14:textId="77777777" w:rsidR="005E6C8D" w:rsidRPr="002671E4" w:rsidRDefault="005E6C8D" w:rsidP="005E6C8D">
      <w:pPr>
        <w:numPr>
          <w:ilvl w:val="0"/>
          <w:numId w:val="39"/>
        </w:numPr>
        <w:contextualSpacing/>
        <w:textAlignment w:val="center"/>
        <w:rPr>
          <w:rFonts w:ascii="Calibri" w:hAnsi="Calibri" w:cs="Calibri"/>
          <w:sz w:val="22"/>
          <w:szCs w:val="22"/>
        </w:rPr>
      </w:pPr>
      <w:r w:rsidRPr="002671E4">
        <w:rPr>
          <w:rFonts w:cs="Arial"/>
        </w:rPr>
        <w:t xml:space="preserve">A consent may not be granted for more than proposed days and times being applied for. </w:t>
      </w:r>
      <w:proofErr w:type="gramStart"/>
      <w:r w:rsidRPr="002671E4">
        <w:rPr>
          <w:rFonts w:cs="Arial"/>
        </w:rPr>
        <w:t>However</w:t>
      </w:r>
      <w:proofErr w:type="gramEnd"/>
      <w:r w:rsidRPr="002671E4">
        <w:rPr>
          <w:rFonts w:cs="Arial"/>
        </w:rPr>
        <w:t xml:space="preserve"> the panel may reduce them if minded to do so.</w:t>
      </w:r>
    </w:p>
    <w:p w14:paraId="3581A675" w14:textId="77777777" w:rsidR="005E6C8D" w:rsidRPr="002671E4" w:rsidRDefault="005E6C8D" w:rsidP="005E6C8D">
      <w:pPr>
        <w:numPr>
          <w:ilvl w:val="0"/>
          <w:numId w:val="39"/>
        </w:numPr>
        <w:contextualSpacing/>
        <w:textAlignment w:val="center"/>
        <w:rPr>
          <w:rFonts w:ascii="Calibri" w:hAnsi="Calibri" w:cs="Calibri"/>
          <w:sz w:val="22"/>
          <w:szCs w:val="22"/>
        </w:rPr>
      </w:pPr>
      <w:r w:rsidRPr="002671E4">
        <w:rPr>
          <w:rFonts w:cs="Arial"/>
        </w:rPr>
        <w:t>The applicant could submit additional applications for other licences in the future.</w:t>
      </w:r>
    </w:p>
    <w:p w14:paraId="49DBA242" w14:textId="77777777" w:rsidR="005E6C8D" w:rsidRDefault="005E6C8D" w:rsidP="005E6C8D">
      <w:pPr>
        <w:numPr>
          <w:ilvl w:val="0"/>
          <w:numId w:val="39"/>
        </w:numPr>
        <w:contextualSpacing/>
        <w:textAlignment w:val="center"/>
        <w:rPr>
          <w:rFonts w:ascii="Calibri" w:hAnsi="Calibri" w:cs="Calibri"/>
          <w:sz w:val="22"/>
          <w:szCs w:val="22"/>
        </w:rPr>
      </w:pPr>
      <w:r w:rsidRPr="002671E4">
        <w:rPr>
          <w:rFonts w:cs="Arial"/>
        </w:rPr>
        <w:t>If the applicant wished to extend trading hours beyond the granted licence, they would need to go through the application process again, including a consultation period before the licensing panel.</w:t>
      </w:r>
    </w:p>
    <w:p w14:paraId="09EC89F5" w14:textId="77777777" w:rsidR="005E6C8D" w:rsidRDefault="005E6C8D" w:rsidP="005E6C8D">
      <w:pPr>
        <w:contextualSpacing/>
        <w:textAlignment w:val="center"/>
        <w:rPr>
          <w:rFonts w:cs="Arial"/>
        </w:rPr>
      </w:pPr>
    </w:p>
    <w:p w14:paraId="52753686" w14:textId="77777777" w:rsidR="005E6C8D" w:rsidRDefault="005E6C8D" w:rsidP="005E6C8D">
      <w:pPr>
        <w:contextualSpacing/>
        <w:textAlignment w:val="center"/>
        <w:rPr>
          <w:rFonts w:ascii="Calibri" w:hAnsi="Calibri" w:cs="Calibri"/>
          <w:sz w:val="22"/>
          <w:szCs w:val="22"/>
        </w:rPr>
      </w:pPr>
      <w:r w:rsidRPr="002671E4">
        <w:rPr>
          <w:rFonts w:cs="Arial"/>
        </w:rPr>
        <w:t xml:space="preserve">Ms Hedges was invited to address the Sub-Committee. She stated that she had been a long-term resident and works as a teaching assistant at a local school. She planned to </w:t>
      </w:r>
      <w:r w:rsidRPr="002671E4">
        <w:rPr>
          <w:rFonts w:cs="Arial"/>
        </w:rPr>
        <w:lastRenderedPageBreak/>
        <w:t>use 100% compostable packaging and source supplies from local businesses. She expressed a preference for a peripatetic licence with special dispensation for two hours at specific locations, particularly Redbridge Park and Ride, and proposed trading during early morning hours. She emphasized that her setup would be safe, stable, and considerate of the environment, and she believed there was strong local demand for her coffee service.</w:t>
      </w:r>
    </w:p>
    <w:p w14:paraId="75B98732" w14:textId="77777777" w:rsidR="005E6C8D" w:rsidRDefault="005E6C8D" w:rsidP="005E6C8D">
      <w:pPr>
        <w:contextualSpacing/>
        <w:textAlignment w:val="center"/>
        <w:rPr>
          <w:rFonts w:cs="Arial"/>
        </w:rPr>
      </w:pPr>
    </w:p>
    <w:p w14:paraId="6984852B" w14:textId="77777777" w:rsidR="005E6C8D" w:rsidRDefault="005E6C8D" w:rsidP="005E6C8D">
      <w:pPr>
        <w:contextualSpacing/>
        <w:textAlignment w:val="center"/>
        <w:rPr>
          <w:rFonts w:cs="Arial"/>
        </w:rPr>
      </w:pPr>
      <w:r w:rsidRPr="002671E4">
        <w:rPr>
          <w:rFonts w:cs="Arial"/>
        </w:rPr>
        <w:t>The Chair noted that this was the first time they had encountered such an application and that whilst the policy did not provide specific guidance for this situation, the application was welcomed by the Sub-Committee.</w:t>
      </w:r>
    </w:p>
    <w:p w14:paraId="1BF5B424" w14:textId="77777777" w:rsidR="005E6C8D" w:rsidRDefault="005E6C8D" w:rsidP="005E6C8D">
      <w:pPr>
        <w:contextualSpacing/>
        <w:textAlignment w:val="center"/>
        <w:rPr>
          <w:rFonts w:cs="Arial"/>
        </w:rPr>
      </w:pPr>
    </w:p>
    <w:p w14:paraId="3C0C83AC" w14:textId="77777777" w:rsidR="005E6C8D" w:rsidRDefault="005E6C8D" w:rsidP="005E6C8D">
      <w:pPr>
        <w:contextualSpacing/>
        <w:textAlignment w:val="center"/>
        <w:rPr>
          <w:rFonts w:cs="Arial"/>
        </w:rPr>
      </w:pPr>
      <w:r>
        <w:rPr>
          <w:rFonts w:cs="Arial"/>
        </w:rPr>
        <w:t>T</w:t>
      </w:r>
      <w:r w:rsidRPr="002671E4">
        <w:rPr>
          <w:rFonts w:cs="Arial"/>
        </w:rPr>
        <w:t xml:space="preserve">he Legal Adviser advised that the Sub-Committee could reject the peripatetic application and instead consider it as a standard application for static consent. If so, the operating hours </w:t>
      </w:r>
      <w:r>
        <w:rPr>
          <w:rFonts w:cs="Arial"/>
        </w:rPr>
        <w:t>would</w:t>
      </w:r>
      <w:r w:rsidRPr="002671E4">
        <w:rPr>
          <w:rFonts w:cs="Arial"/>
        </w:rPr>
        <w:t xml:space="preserve"> be </w:t>
      </w:r>
      <w:r>
        <w:rPr>
          <w:rFonts w:cs="Arial"/>
        </w:rPr>
        <w:t>from</w:t>
      </w:r>
      <w:r w:rsidRPr="002671E4">
        <w:rPr>
          <w:rFonts w:cs="Arial"/>
        </w:rPr>
        <w:t xml:space="preserve"> 0800 to 2100, </w:t>
      </w:r>
      <w:r>
        <w:rPr>
          <w:rFonts w:cs="Arial"/>
        </w:rPr>
        <w:t>which could be reduced if good</w:t>
      </w:r>
      <w:r w:rsidRPr="002671E4">
        <w:rPr>
          <w:rFonts w:cs="Arial"/>
        </w:rPr>
        <w:t xml:space="preserve"> reasons </w:t>
      </w:r>
      <w:r>
        <w:rPr>
          <w:rFonts w:cs="Arial"/>
        </w:rPr>
        <w:t>were provided</w:t>
      </w:r>
      <w:r w:rsidRPr="002671E4">
        <w:rPr>
          <w:rFonts w:cs="Arial"/>
        </w:rPr>
        <w:t>. He clarified that while the Sub-Committee could reduce the hours, it could not extend them, and the consent would apply to only one location.</w:t>
      </w:r>
    </w:p>
    <w:p w14:paraId="472438F9" w14:textId="77777777" w:rsidR="005E6C8D" w:rsidRDefault="005E6C8D" w:rsidP="005E6C8D">
      <w:pPr>
        <w:contextualSpacing/>
        <w:textAlignment w:val="center"/>
        <w:rPr>
          <w:rFonts w:cs="Arial"/>
        </w:rPr>
      </w:pPr>
    </w:p>
    <w:p w14:paraId="53AA79FA" w14:textId="77777777" w:rsidR="005E6C8D" w:rsidRDefault="005E6C8D" w:rsidP="005E6C8D">
      <w:pPr>
        <w:contextualSpacing/>
        <w:textAlignment w:val="center"/>
        <w:rPr>
          <w:rFonts w:cs="Arial"/>
        </w:rPr>
      </w:pPr>
      <w:r w:rsidRPr="002671E4">
        <w:rPr>
          <w:rFonts w:cs="Arial"/>
        </w:rPr>
        <w:t>Following agreement from the Sub-Committee, the meeting broke for 10 minutes to allow the applicant time to decide how they wished to proceed with the application.</w:t>
      </w:r>
    </w:p>
    <w:p w14:paraId="4E165DA3" w14:textId="77777777" w:rsidR="005E6C8D" w:rsidRDefault="005E6C8D" w:rsidP="005E6C8D">
      <w:pPr>
        <w:contextualSpacing/>
        <w:textAlignment w:val="center"/>
        <w:rPr>
          <w:rFonts w:cs="Arial"/>
        </w:rPr>
      </w:pPr>
      <w:r w:rsidRPr="002671E4">
        <w:rPr>
          <w:rFonts w:cs="Arial"/>
        </w:rPr>
        <w:t>The Chair clarified to the applicant that if the application was changed from peripatetic to static consent, the operating hours for a single proposed site would be from 0800 to 2100. He emphasized that failing to specify and adhere to these hours would constitute a breach of the conditions.</w:t>
      </w:r>
    </w:p>
    <w:p w14:paraId="4B130CAF" w14:textId="77777777" w:rsidR="005E6C8D" w:rsidRDefault="005E6C8D" w:rsidP="005E6C8D">
      <w:pPr>
        <w:contextualSpacing/>
        <w:textAlignment w:val="center"/>
        <w:rPr>
          <w:rFonts w:cs="Arial"/>
        </w:rPr>
      </w:pPr>
    </w:p>
    <w:p w14:paraId="34DA6094" w14:textId="77777777" w:rsidR="005E6C8D" w:rsidRDefault="005E6C8D" w:rsidP="005E6C8D">
      <w:pPr>
        <w:contextualSpacing/>
        <w:textAlignment w:val="center"/>
        <w:rPr>
          <w:rFonts w:cs="Arial"/>
        </w:rPr>
      </w:pPr>
      <w:r w:rsidRPr="002671E4">
        <w:rPr>
          <w:rFonts w:cs="Arial"/>
        </w:rPr>
        <w:t>Ms Hedges stated she would proceed with an application for a Static Consent to operate on Monday, Tuesday, and Friday from 0800 to 1200 at Redbridge Park and Ride.</w:t>
      </w:r>
    </w:p>
    <w:p w14:paraId="38B7E0C9" w14:textId="77777777" w:rsidR="005E6C8D" w:rsidRDefault="005E6C8D" w:rsidP="005E6C8D">
      <w:pPr>
        <w:contextualSpacing/>
        <w:textAlignment w:val="center"/>
        <w:rPr>
          <w:rFonts w:cs="Arial"/>
        </w:rPr>
      </w:pPr>
    </w:p>
    <w:p w14:paraId="013762C1" w14:textId="77777777" w:rsidR="005E6C8D" w:rsidRDefault="005E6C8D" w:rsidP="005E6C8D">
      <w:pPr>
        <w:contextualSpacing/>
        <w:textAlignment w:val="center"/>
        <w:rPr>
          <w:rFonts w:cs="Arial"/>
        </w:rPr>
      </w:pPr>
      <w:r w:rsidRPr="002671E4">
        <w:rPr>
          <w:rFonts w:cs="Arial"/>
        </w:rPr>
        <w:t xml:space="preserve">The Chair thanked Ms Hedges, Mr </w:t>
      </w:r>
      <w:proofErr w:type="spellStart"/>
      <w:proofErr w:type="gramStart"/>
      <w:r w:rsidRPr="002671E4">
        <w:rPr>
          <w:rFonts w:cs="Arial"/>
        </w:rPr>
        <w:t>Richens</w:t>
      </w:r>
      <w:proofErr w:type="spellEnd"/>
      <w:proofErr w:type="gramEnd"/>
      <w:r w:rsidRPr="002671E4">
        <w:rPr>
          <w:rFonts w:cs="Arial"/>
        </w:rPr>
        <w:t xml:space="preserve"> and the Senior Licensing Officer for their contributions. They were asked to leave the room while the Sub-Committee considered the application.</w:t>
      </w:r>
    </w:p>
    <w:p w14:paraId="44D43086" w14:textId="77777777" w:rsidR="005E6C8D" w:rsidRDefault="005E6C8D" w:rsidP="005E6C8D">
      <w:pPr>
        <w:contextualSpacing/>
        <w:textAlignment w:val="center"/>
        <w:rPr>
          <w:rFonts w:cs="Arial"/>
        </w:rPr>
      </w:pPr>
    </w:p>
    <w:p w14:paraId="1B56572E" w14:textId="77777777" w:rsidR="005E6C8D" w:rsidRDefault="005E6C8D" w:rsidP="005E6C8D">
      <w:pPr>
        <w:contextualSpacing/>
        <w:textAlignment w:val="center"/>
        <w:rPr>
          <w:rFonts w:cs="Arial"/>
        </w:rPr>
      </w:pPr>
      <w:r w:rsidRPr="002671E4">
        <w:rPr>
          <w:rFonts w:cs="Arial"/>
        </w:rPr>
        <w:t>The Sub-Committee noted the representations made at this hearing. The Sub-Committee considered the timings requested and raised no concerns. Having considered all submissions, the Sub-Committee agreed to approve the proposed street trading application.</w:t>
      </w:r>
    </w:p>
    <w:p w14:paraId="5A5B3E20" w14:textId="77777777" w:rsidR="005E6C8D" w:rsidRDefault="005E6C8D" w:rsidP="005E6C8D">
      <w:pPr>
        <w:contextualSpacing/>
        <w:textAlignment w:val="center"/>
        <w:rPr>
          <w:rFonts w:cs="Arial"/>
        </w:rPr>
      </w:pPr>
    </w:p>
    <w:p w14:paraId="796B3739" w14:textId="77777777" w:rsidR="005E6C8D" w:rsidRDefault="005E6C8D" w:rsidP="005E6C8D">
      <w:pPr>
        <w:contextualSpacing/>
        <w:textAlignment w:val="center"/>
        <w:rPr>
          <w:rFonts w:cs="Arial"/>
        </w:rPr>
      </w:pPr>
      <w:r w:rsidRPr="002671E4">
        <w:rPr>
          <w:rFonts w:cs="Arial"/>
        </w:rPr>
        <w:t xml:space="preserve">The Senior Licensing Officer, Ms Hedges and Mr </w:t>
      </w:r>
      <w:proofErr w:type="spellStart"/>
      <w:r w:rsidRPr="002671E4">
        <w:rPr>
          <w:rFonts w:cs="Arial"/>
        </w:rPr>
        <w:t>Richens</w:t>
      </w:r>
      <w:proofErr w:type="spellEnd"/>
      <w:r w:rsidRPr="002671E4">
        <w:rPr>
          <w:rFonts w:cs="Arial"/>
        </w:rPr>
        <w:t xml:space="preserve"> re-joined the meeting and were informed of the Sub-Committee's decision.</w:t>
      </w:r>
    </w:p>
    <w:p w14:paraId="2132919A" w14:textId="77777777" w:rsidR="005E6C8D" w:rsidRDefault="005E6C8D" w:rsidP="005E6C8D">
      <w:pPr>
        <w:contextualSpacing/>
        <w:textAlignment w:val="center"/>
        <w:rPr>
          <w:rFonts w:cs="Arial"/>
        </w:rPr>
      </w:pPr>
    </w:p>
    <w:p w14:paraId="2C087938" w14:textId="77777777" w:rsidR="005E6C8D" w:rsidRDefault="005E6C8D" w:rsidP="005E6C8D">
      <w:pPr>
        <w:contextualSpacing/>
        <w:textAlignment w:val="center"/>
        <w:rPr>
          <w:rFonts w:cs="Arial"/>
        </w:rPr>
      </w:pPr>
      <w:r w:rsidRPr="002671E4">
        <w:rPr>
          <w:rFonts w:cs="Arial"/>
        </w:rPr>
        <w:t xml:space="preserve">The Chair thanked the applicant for her application and patience, acknowledging the ambitions of the business and stating that it was something the Council would welcome in the future. The Sub-Committee refused the peripatetic application as it fell outside the policy. However, the Sub-Committee granted her application for a Static Consent for Redbridge Park and Ride, trading on Monday, Tuesday, and Friday between 0800 to 1200. </w:t>
      </w:r>
    </w:p>
    <w:p w14:paraId="5C1F1CA1" w14:textId="77777777" w:rsidR="005E6C8D" w:rsidRDefault="005E6C8D" w:rsidP="005E6C8D">
      <w:pPr>
        <w:contextualSpacing/>
        <w:textAlignment w:val="center"/>
        <w:rPr>
          <w:rFonts w:cs="Arial"/>
        </w:rPr>
      </w:pPr>
    </w:p>
    <w:p w14:paraId="309A2AAD" w14:textId="77777777" w:rsidR="005E6C8D" w:rsidRDefault="005E6C8D" w:rsidP="005E6C8D">
      <w:pPr>
        <w:contextualSpacing/>
        <w:textAlignment w:val="center"/>
        <w:rPr>
          <w:rFonts w:cs="Arial"/>
        </w:rPr>
      </w:pPr>
      <w:r w:rsidRPr="002671E4">
        <w:rPr>
          <w:rFonts w:cs="Arial"/>
        </w:rPr>
        <w:t>The Chair noted that this arrangement was within policy and did not present any adverse issues. The applicant was reminded to maintain public liability insurance as part of the conditions of the consent.</w:t>
      </w:r>
    </w:p>
    <w:p w14:paraId="2563EEB0" w14:textId="77777777" w:rsidR="005E6C8D" w:rsidRDefault="005E6C8D" w:rsidP="005E6C8D">
      <w:pPr>
        <w:contextualSpacing/>
        <w:textAlignment w:val="center"/>
        <w:rPr>
          <w:rFonts w:cs="Arial"/>
        </w:rPr>
      </w:pPr>
    </w:p>
    <w:p w14:paraId="05C8A67D" w14:textId="77777777" w:rsidR="005E6C8D" w:rsidRPr="002671E4" w:rsidRDefault="005E6C8D" w:rsidP="005E6C8D">
      <w:pPr>
        <w:contextualSpacing/>
        <w:textAlignment w:val="center"/>
        <w:rPr>
          <w:rFonts w:cs="Arial"/>
        </w:rPr>
      </w:pPr>
      <w:r w:rsidRPr="002671E4">
        <w:rPr>
          <w:rFonts w:cs="Arial"/>
        </w:rPr>
        <w:lastRenderedPageBreak/>
        <w:t>The General Purposes Licensing Casework Sub-Committee resolved to:</w:t>
      </w:r>
    </w:p>
    <w:p w14:paraId="7DA7C6FF" w14:textId="77777777" w:rsidR="005E6C8D" w:rsidRPr="002671E4" w:rsidRDefault="005E6C8D" w:rsidP="005E6C8D">
      <w:pPr>
        <w:numPr>
          <w:ilvl w:val="0"/>
          <w:numId w:val="40"/>
        </w:numPr>
        <w:contextualSpacing/>
        <w:textAlignment w:val="center"/>
        <w:rPr>
          <w:rFonts w:ascii="Calibri" w:hAnsi="Calibri" w:cs="Calibri"/>
          <w:sz w:val="22"/>
          <w:szCs w:val="22"/>
        </w:rPr>
      </w:pPr>
      <w:r w:rsidRPr="009D2B96">
        <w:rPr>
          <w:rFonts w:cs="Arial"/>
          <w:b/>
          <w:bCs/>
        </w:rPr>
        <w:t>Refuse</w:t>
      </w:r>
      <w:r w:rsidRPr="002671E4">
        <w:rPr>
          <w:rFonts w:cs="Arial"/>
        </w:rPr>
        <w:t xml:space="preserve"> Ms Hedges' peripatetic application as the scope </w:t>
      </w:r>
      <w:r>
        <w:rPr>
          <w:rFonts w:cs="Arial"/>
        </w:rPr>
        <w:t xml:space="preserve">of the proposed application </w:t>
      </w:r>
      <w:r w:rsidRPr="002671E4">
        <w:rPr>
          <w:rFonts w:cs="Arial"/>
        </w:rPr>
        <w:t>fell outside of the</w:t>
      </w:r>
      <w:r>
        <w:rPr>
          <w:rFonts w:cs="Arial"/>
        </w:rPr>
        <w:t xml:space="preserve"> Street Trading P</w:t>
      </w:r>
      <w:r w:rsidRPr="002671E4">
        <w:rPr>
          <w:rFonts w:cs="Arial"/>
        </w:rPr>
        <w:t>olicy.</w:t>
      </w:r>
    </w:p>
    <w:p w14:paraId="288A30AE" w14:textId="77777777" w:rsidR="005E6C8D" w:rsidRPr="002671E4" w:rsidRDefault="005E6C8D" w:rsidP="005E6C8D">
      <w:pPr>
        <w:numPr>
          <w:ilvl w:val="0"/>
          <w:numId w:val="40"/>
        </w:numPr>
        <w:contextualSpacing/>
        <w:textAlignment w:val="center"/>
        <w:rPr>
          <w:rFonts w:ascii="Calibri" w:hAnsi="Calibri" w:cs="Calibri"/>
          <w:sz w:val="22"/>
          <w:szCs w:val="22"/>
        </w:rPr>
      </w:pPr>
      <w:r w:rsidRPr="009D2B96">
        <w:rPr>
          <w:rFonts w:cs="Arial"/>
          <w:b/>
          <w:bCs/>
        </w:rPr>
        <w:t>Grant</w:t>
      </w:r>
      <w:r w:rsidRPr="002671E4">
        <w:rPr>
          <w:rFonts w:cs="Arial"/>
        </w:rPr>
        <w:t xml:space="preserve"> Ms Hedges' application for a Street Trading Consent until 31 March 2025.</w:t>
      </w:r>
    </w:p>
    <w:p w14:paraId="587A496B" w14:textId="77777777" w:rsidR="005E6C8D" w:rsidRPr="002671E4" w:rsidRDefault="005E6C8D" w:rsidP="005E6C8D">
      <w:pPr>
        <w:numPr>
          <w:ilvl w:val="0"/>
          <w:numId w:val="40"/>
        </w:numPr>
        <w:contextualSpacing/>
        <w:textAlignment w:val="center"/>
        <w:rPr>
          <w:rFonts w:ascii="Calibri" w:hAnsi="Calibri" w:cs="Calibri"/>
          <w:sz w:val="22"/>
          <w:szCs w:val="22"/>
        </w:rPr>
      </w:pPr>
      <w:r w:rsidRPr="009D2B96">
        <w:rPr>
          <w:rFonts w:cs="Arial"/>
          <w:b/>
          <w:bCs/>
        </w:rPr>
        <w:t>Grant</w:t>
      </w:r>
      <w:r w:rsidRPr="002671E4">
        <w:rPr>
          <w:rFonts w:cs="Arial"/>
        </w:rPr>
        <w:t xml:space="preserve"> the trading hours applied for: Monday, Tuesday, and Friday 0800 - 1200.</w:t>
      </w:r>
    </w:p>
    <w:p w14:paraId="570EA07A" w14:textId="16CA506E" w:rsidR="00693BD9" w:rsidRDefault="00693BD9" w:rsidP="0093067A">
      <w:pPr>
        <w:rPr>
          <w:rFonts w:cs="Arial"/>
          <w:b/>
          <w:bCs/>
        </w:rPr>
      </w:pPr>
    </w:p>
    <w:p w14:paraId="7F7864C3" w14:textId="7F8BD966" w:rsidR="00D86378" w:rsidRDefault="00D86378" w:rsidP="00D86378">
      <w:pPr>
        <w:rPr>
          <w:rFonts w:cs="Arial"/>
        </w:rPr>
      </w:pPr>
    </w:p>
    <w:p w14:paraId="19EC02D5" w14:textId="332022FB" w:rsidR="00D86378" w:rsidRDefault="00D86378" w:rsidP="00D86378">
      <w:pPr>
        <w:rPr>
          <w:rFonts w:cs="Arial"/>
        </w:rPr>
      </w:pPr>
    </w:p>
    <w:p w14:paraId="06C6D450" w14:textId="6A7C5B28" w:rsidR="00D86378" w:rsidRDefault="00D86378" w:rsidP="00D86378">
      <w:pPr>
        <w:rPr>
          <w:rFonts w:cs="Arial"/>
        </w:rPr>
      </w:pPr>
    </w:p>
    <w:p w14:paraId="63504108" w14:textId="3F92C478" w:rsidR="00D86378" w:rsidRDefault="00D86378" w:rsidP="00D86378">
      <w:pPr>
        <w:tabs>
          <w:tab w:val="left" w:pos="1472"/>
        </w:tabs>
        <w:rPr>
          <w:rFonts w:cs="Arial"/>
        </w:rPr>
      </w:pPr>
      <w:r>
        <w:rPr>
          <w:rFonts w:cs="Arial"/>
        </w:rPr>
        <w:tab/>
      </w:r>
    </w:p>
    <w:p w14:paraId="7C8817F7" w14:textId="72EAB3A6" w:rsidR="00D86378" w:rsidRDefault="00D86378" w:rsidP="00D86378">
      <w:pPr>
        <w:tabs>
          <w:tab w:val="left" w:pos="1472"/>
        </w:tabs>
        <w:rPr>
          <w:rFonts w:cs="Arial"/>
        </w:rPr>
      </w:pPr>
    </w:p>
    <w:p w14:paraId="51C826D0" w14:textId="518D8174" w:rsidR="00D86378" w:rsidRDefault="00D86378" w:rsidP="00D86378">
      <w:pPr>
        <w:tabs>
          <w:tab w:val="left" w:pos="1472"/>
        </w:tabs>
        <w:rPr>
          <w:rFonts w:cs="Arial"/>
        </w:rPr>
      </w:pPr>
    </w:p>
    <w:p w14:paraId="5A72E0E7" w14:textId="0B2CF0FA" w:rsidR="00D86378" w:rsidRDefault="00D86378" w:rsidP="00D86378">
      <w:pPr>
        <w:tabs>
          <w:tab w:val="left" w:pos="1472"/>
        </w:tabs>
        <w:rPr>
          <w:rFonts w:cs="Arial"/>
        </w:rPr>
      </w:pPr>
    </w:p>
    <w:p w14:paraId="7364AE7A" w14:textId="78867F7E" w:rsidR="00D86378" w:rsidRPr="00D86378" w:rsidRDefault="00D86378" w:rsidP="00D86378">
      <w:pPr>
        <w:rPr>
          <w:rFonts w:cs="Arial"/>
        </w:rPr>
      </w:pPr>
    </w:p>
    <w:p w14:paraId="5AD60AAB" w14:textId="606432BD" w:rsidR="00D86378" w:rsidRPr="00D86378" w:rsidRDefault="00D86378" w:rsidP="00D86378">
      <w:pPr>
        <w:rPr>
          <w:rFonts w:cs="Arial"/>
        </w:rPr>
      </w:pPr>
    </w:p>
    <w:p w14:paraId="7EFB56B8" w14:textId="562569BB" w:rsidR="00D86378" w:rsidRDefault="00D86378" w:rsidP="00D86378">
      <w:pPr>
        <w:rPr>
          <w:rFonts w:cs="Arial"/>
        </w:rPr>
      </w:pPr>
    </w:p>
    <w:p w14:paraId="0BC1F820" w14:textId="0EC103EC" w:rsidR="00D86378" w:rsidRDefault="007311A8" w:rsidP="00EC1261">
      <w:pPr>
        <w:tabs>
          <w:tab w:val="left" w:pos="1293"/>
        </w:tabs>
        <w:rPr>
          <w:rFonts w:cs="Arial"/>
        </w:rPr>
      </w:pPr>
      <w:r>
        <w:rPr>
          <w:rFonts w:cs="Arial"/>
          <w:b/>
          <w:bCs/>
        </w:rPr>
        <w:t>Appendix 2</w:t>
      </w:r>
      <w:r w:rsidR="00EC1261" w:rsidRPr="008127D4">
        <w:rPr>
          <w:rFonts w:cs="Arial"/>
          <w:noProof/>
        </w:rPr>
        <w:drawing>
          <wp:inline distT="0" distB="0" distL="0" distR="0" wp14:anchorId="0A7785BC" wp14:editId="083FB2F5">
            <wp:extent cx="5904230" cy="1842135"/>
            <wp:effectExtent l="0" t="0" r="1270" b="5715"/>
            <wp:docPr id="58852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2237" name=""/>
                    <pic:cNvPicPr/>
                  </pic:nvPicPr>
                  <pic:blipFill>
                    <a:blip r:embed="rId11"/>
                    <a:stretch>
                      <a:fillRect/>
                    </a:stretch>
                  </pic:blipFill>
                  <pic:spPr>
                    <a:xfrm>
                      <a:off x="0" y="0"/>
                      <a:ext cx="5904230" cy="1842135"/>
                    </a:xfrm>
                    <a:prstGeom prst="rect">
                      <a:avLst/>
                    </a:prstGeom>
                  </pic:spPr>
                </pic:pic>
              </a:graphicData>
            </a:graphic>
          </wp:inline>
        </w:drawing>
      </w:r>
      <w:r w:rsidR="00EC1261" w:rsidRPr="00EC1261">
        <w:rPr>
          <w:rFonts w:cs="Arial"/>
          <w:noProof/>
        </w:rPr>
        <w:lastRenderedPageBreak/>
        <w:drawing>
          <wp:inline distT="0" distB="0" distL="0" distR="0" wp14:anchorId="54BA4C99" wp14:editId="0F764DBF">
            <wp:extent cx="5904230" cy="6667500"/>
            <wp:effectExtent l="0" t="0" r="1270" b="0"/>
            <wp:docPr id="293309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09637" name=""/>
                    <pic:cNvPicPr/>
                  </pic:nvPicPr>
                  <pic:blipFill>
                    <a:blip r:embed="rId12"/>
                    <a:stretch>
                      <a:fillRect/>
                    </a:stretch>
                  </pic:blipFill>
                  <pic:spPr>
                    <a:xfrm>
                      <a:off x="0" y="0"/>
                      <a:ext cx="5904230" cy="6667500"/>
                    </a:xfrm>
                    <a:prstGeom prst="rect">
                      <a:avLst/>
                    </a:prstGeom>
                  </pic:spPr>
                </pic:pic>
              </a:graphicData>
            </a:graphic>
          </wp:inline>
        </w:drawing>
      </w:r>
      <w:r w:rsidR="00D86378">
        <w:rPr>
          <w:rFonts w:cs="Arial"/>
        </w:rPr>
        <w:tab/>
      </w:r>
    </w:p>
    <w:sectPr w:rsidR="00D86378" w:rsidSect="00B558E1">
      <w:footerReference w:type="even" r:id="rId13"/>
      <w:headerReference w:type="first" r:id="rId14"/>
      <w:footerReference w:type="first" r:id="rId15"/>
      <w:pgSz w:w="11906" w:h="16838" w:code="9"/>
      <w:pgMar w:top="1304"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3432" w14:textId="77777777" w:rsidR="00274DEB" w:rsidRDefault="00274DEB" w:rsidP="004A6D2F">
      <w:r>
        <w:separator/>
      </w:r>
    </w:p>
  </w:endnote>
  <w:endnote w:type="continuationSeparator" w:id="0">
    <w:p w14:paraId="66979B84" w14:textId="77777777" w:rsidR="00274DEB" w:rsidRDefault="00274DEB"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A0B8" w14:textId="77777777" w:rsidR="00364FAD" w:rsidRDefault="00364FAD" w:rsidP="004A6D2F">
    <w:pPr>
      <w:pStyle w:val="Footer"/>
    </w:pPr>
    <w:r>
      <w:t>Do not use a footer or page numbers.</w:t>
    </w:r>
  </w:p>
  <w:p w14:paraId="1B837B60" w14:textId="77777777" w:rsidR="00364FAD" w:rsidRDefault="00364FAD" w:rsidP="004A6D2F">
    <w:pPr>
      <w:pStyle w:val="Footer"/>
    </w:pPr>
  </w:p>
  <w:p w14:paraId="1E20E51F"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3780"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96AE" w14:textId="77777777" w:rsidR="00274DEB" w:rsidRDefault="00274DEB" w:rsidP="004A6D2F">
      <w:r>
        <w:separator/>
      </w:r>
    </w:p>
  </w:footnote>
  <w:footnote w:type="continuationSeparator" w:id="0">
    <w:p w14:paraId="0D134536" w14:textId="77777777" w:rsidR="00274DEB" w:rsidRDefault="00274DEB"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542E" w14:textId="77777777" w:rsidR="00D5547E" w:rsidRDefault="00DD2FED" w:rsidP="00D5547E">
    <w:pPr>
      <w:pStyle w:val="Header"/>
      <w:jc w:val="right"/>
    </w:pPr>
    <w:r>
      <w:rPr>
        <w:noProof/>
      </w:rPr>
      <w:drawing>
        <wp:inline distT="0" distB="0" distL="0" distR="0" wp14:anchorId="5F1E628D" wp14:editId="2BB7AF37">
          <wp:extent cx="843280" cy="1117600"/>
          <wp:effectExtent l="0" t="0" r="0" b="6350"/>
          <wp:docPr id="1" name="Picture 1" descr="Oxford City Council Logo"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263A6A"/>
    <w:multiLevelType w:val="multilevel"/>
    <w:tmpl w:val="43D6D2FA"/>
    <w:numStyleLink w:val="StyleBulletedSymbolsymbolLeft063cmHanging063cm"/>
  </w:abstractNum>
  <w:abstractNum w:abstractNumId="18"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D27FB8"/>
    <w:multiLevelType w:val="hybridMultilevel"/>
    <w:tmpl w:val="688A03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D63DF8"/>
    <w:multiLevelType w:val="multilevel"/>
    <w:tmpl w:val="4136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BA5FD8"/>
    <w:multiLevelType w:val="multilevel"/>
    <w:tmpl w:val="43D6D2FA"/>
    <w:numStyleLink w:val="StyleBulletedSymbolsymbolLeft063cmHanging063cm"/>
  </w:abstractNum>
  <w:abstractNum w:abstractNumId="29"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A22831"/>
    <w:multiLevelType w:val="multilevel"/>
    <w:tmpl w:val="43D6D2FA"/>
    <w:numStyleLink w:val="StyleBulletedSymbolsymbolLeft063cmHanging063cm"/>
  </w:abstractNum>
  <w:abstractNum w:abstractNumId="31"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65723D"/>
    <w:multiLevelType w:val="multilevel"/>
    <w:tmpl w:val="C5D0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8E70223"/>
    <w:multiLevelType w:val="hybridMultilevel"/>
    <w:tmpl w:val="5E62723C"/>
    <w:lvl w:ilvl="0" w:tplc="FFFFFFFF">
      <w:start w:val="33"/>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8E70224"/>
    <w:multiLevelType w:val="hybridMultilevel"/>
    <w:tmpl w:val="5E62723C"/>
    <w:lvl w:ilvl="0" w:tplc="FFFFFFFF">
      <w:start w:val="34"/>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8E70225"/>
    <w:multiLevelType w:val="hybridMultilevel"/>
    <w:tmpl w:val="5E62723C"/>
    <w:lvl w:ilvl="0" w:tplc="FFFFFFFF">
      <w:start w:val="35"/>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8E70226"/>
    <w:multiLevelType w:val="hybridMultilevel"/>
    <w:tmpl w:val="5E62723C"/>
    <w:lvl w:ilvl="0" w:tplc="FFFFFFFF">
      <w:start w:val="36"/>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98365C6"/>
    <w:multiLevelType w:val="multilevel"/>
    <w:tmpl w:val="E67CE66C"/>
    <w:numStyleLink w:val="StyleNumberedLeft0cmHanging075cm"/>
  </w:abstractNum>
  <w:num w:numId="1" w16cid:durableId="761682741">
    <w:abstractNumId w:val="26"/>
  </w:num>
  <w:num w:numId="2" w16cid:durableId="1897160337">
    <w:abstractNumId w:val="32"/>
  </w:num>
  <w:num w:numId="3" w16cid:durableId="2109040611">
    <w:abstractNumId w:val="23"/>
  </w:num>
  <w:num w:numId="4" w16cid:durableId="89668790">
    <w:abstractNumId w:val="18"/>
  </w:num>
  <w:num w:numId="5" w16cid:durableId="891236791">
    <w:abstractNumId w:val="29"/>
  </w:num>
  <w:num w:numId="6" w16cid:durableId="598223343">
    <w:abstractNumId w:val="34"/>
  </w:num>
  <w:num w:numId="7" w16cid:durableId="797996500">
    <w:abstractNumId w:val="22"/>
  </w:num>
  <w:num w:numId="8" w16cid:durableId="727414972">
    <w:abstractNumId w:val="20"/>
  </w:num>
  <w:num w:numId="9" w16cid:durableId="1905599007">
    <w:abstractNumId w:val="13"/>
  </w:num>
  <w:num w:numId="10" w16cid:durableId="56131262">
    <w:abstractNumId w:val="15"/>
  </w:num>
  <w:num w:numId="11" w16cid:durableId="706610038">
    <w:abstractNumId w:val="25"/>
  </w:num>
  <w:num w:numId="12" w16cid:durableId="1877962930">
    <w:abstractNumId w:val="24"/>
  </w:num>
  <w:num w:numId="13" w16cid:durableId="1332175591">
    <w:abstractNumId w:val="10"/>
  </w:num>
  <w:num w:numId="14" w16cid:durableId="1740130993">
    <w:abstractNumId w:val="39"/>
  </w:num>
  <w:num w:numId="15" w16cid:durableId="1488396794">
    <w:abstractNumId w:val="16"/>
  </w:num>
  <w:num w:numId="16" w16cid:durableId="1963339616">
    <w:abstractNumId w:val="11"/>
  </w:num>
  <w:num w:numId="17" w16cid:durableId="1408379829">
    <w:abstractNumId w:val="28"/>
  </w:num>
  <w:num w:numId="18" w16cid:durableId="709034368">
    <w:abstractNumId w:val="12"/>
  </w:num>
  <w:num w:numId="19" w16cid:durableId="1742093124">
    <w:abstractNumId w:val="30"/>
  </w:num>
  <w:num w:numId="20" w16cid:durableId="1475177350">
    <w:abstractNumId w:val="17"/>
  </w:num>
  <w:num w:numId="21" w16cid:durableId="229728647">
    <w:abstractNumId w:val="21"/>
  </w:num>
  <w:num w:numId="22" w16cid:durableId="1774206330">
    <w:abstractNumId w:val="14"/>
  </w:num>
  <w:num w:numId="23" w16cid:durableId="1638024887">
    <w:abstractNumId w:val="31"/>
  </w:num>
  <w:num w:numId="24" w16cid:durableId="1996301665">
    <w:abstractNumId w:val="9"/>
  </w:num>
  <w:num w:numId="25" w16cid:durableId="418989352">
    <w:abstractNumId w:val="8"/>
  </w:num>
  <w:num w:numId="26" w16cid:durableId="554437404">
    <w:abstractNumId w:val="7"/>
  </w:num>
  <w:num w:numId="27" w16cid:durableId="1587763807">
    <w:abstractNumId w:val="6"/>
  </w:num>
  <w:num w:numId="28" w16cid:durableId="543754847">
    <w:abstractNumId w:val="5"/>
  </w:num>
  <w:num w:numId="29" w16cid:durableId="69622985">
    <w:abstractNumId w:val="4"/>
  </w:num>
  <w:num w:numId="30" w16cid:durableId="2108306795">
    <w:abstractNumId w:val="3"/>
  </w:num>
  <w:num w:numId="31" w16cid:durableId="1352217018">
    <w:abstractNumId w:val="2"/>
  </w:num>
  <w:num w:numId="32" w16cid:durableId="4139603">
    <w:abstractNumId w:val="1"/>
  </w:num>
  <w:num w:numId="33" w16cid:durableId="929780177">
    <w:abstractNumId w:val="0"/>
  </w:num>
  <w:num w:numId="34" w16cid:durableId="1060400139">
    <w:abstractNumId w:val="39"/>
  </w:num>
  <w:num w:numId="35" w16cid:durableId="1560627508">
    <w:abstractNumId w:val="35"/>
  </w:num>
  <w:num w:numId="36" w16cid:durableId="267665565">
    <w:abstractNumId w:val="36"/>
  </w:num>
  <w:num w:numId="37" w16cid:durableId="81219832">
    <w:abstractNumId w:val="37"/>
  </w:num>
  <w:num w:numId="38" w16cid:durableId="160052905">
    <w:abstractNumId w:val="38"/>
  </w:num>
  <w:num w:numId="39" w16cid:durableId="943420877">
    <w:abstractNumId w:val="33"/>
  </w:num>
  <w:num w:numId="40" w16cid:durableId="465899531">
    <w:abstractNumId w:val="27"/>
  </w:num>
  <w:num w:numId="41" w16cid:durableId="66278234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edit="trackedChanges" w:enforcement="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5/01/2023 15:58"/>
  </w:docVars>
  <w:rsids>
    <w:rsidRoot w:val="00AD3292"/>
    <w:rsid w:val="000117D4"/>
    <w:rsid w:val="00041D72"/>
    <w:rsid w:val="00045F8B"/>
    <w:rsid w:val="00046D2B"/>
    <w:rsid w:val="000520ED"/>
    <w:rsid w:val="00056263"/>
    <w:rsid w:val="000647AE"/>
    <w:rsid w:val="00064D8A"/>
    <w:rsid w:val="00064F82"/>
    <w:rsid w:val="00066510"/>
    <w:rsid w:val="000707E2"/>
    <w:rsid w:val="00071DF3"/>
    <w:rsid w:val="00077523"/>
    <w:rsid w:val="00094350"/>
    <w:rsid w:val="000A2B88"/>
    <w:rsid w:val="000C089F"/>
    <w:rsid w:val="000C08E5"/>
    <w:rsid w:val="000C3928"/>
    <w:rsid w:val="000C5E8E"/>
    <w:rsid w:val="000E24AD"/>
    <w:rsid w:val="000F4751"/>
    <w:rsid w:val="0010524C"/>
    <w:rsid w:val="00111FB1"/>
    <w:rsid w:val="00113418"/>
    <w:rsid w:val="0011344E"/>
    <w:rsid w:val="001348B5"/>
    <w:rsid w:val="001356F1"/>
    <w:rsid w:val="00136994"/>
    <w:rsid w:val="0014128E"/>
    <w:rsid w:val="00151888"/>
    <w:rsid w:val="00170A2D"/>
    <w:rsid w:val="00171809"/>
    <w:rsid w:val="00176C43"/>
    <w:rsid w:val="001808BC"/>
    <w:rsid w:val="00182A0F"/>
    <w:rsid w:val="00182B81"/>
    <w:rsid w:val="0018619D"/>
    <w:rsid w:val="0019071D"/>
    <w:rsid w:val="001A011E"/>
    <w:rsid w:val="001A066A"/>
    <w:rsid w:val="001A13E6"/>
    <w:rsid w:val="001A5731"/>
    <w:rsid w:val="001B42C3"/>
    <w:rsid w:val="001C5D5E"/>
    <w:rsid w:val="001D678D"/>
    <w:rsid w:val="001E03F8"/>
    <w:rsid w:val="001E3376"/>
    <w:rsid w:val="001F4400"/>
    <w:rsid w:val="002069B3"/>
    <w:rsid w:val="00207096"/>
    <w:rsid w:val="002146C9"/>
    <w:rsid w:val="002229FE"/>
    <w:rsid w:val="002329CF"/>
    <w:rsid w:val="00232F5B"/>
    <w:rsid w:val="00233964"/>
    <w:rsid w:val="002373E7"/>
    <w:rsid w:val="0024238B"/>
    <w:rsid w:val="00247C29"/>
    <w:rsid w:val="00260467"/>
    <w:rsid w:val="00263EA3"/>
    <w:rsid w:val="00274DEB"/>
    <w:rsid w:val="00284F85"/>
    <w:rsid w:val="00287228"/>
    <w:rsid w:val="00290915"/>
    <w:rsid w:val="002A22E2"/>
    <w:rsid w:val="002B004C"/>
    <w:rsid w:val="002C64F7"/>
    <w:rsid w:val="002C7DE7"/>
    <w:rsid w:val="002D43DC"/>
    <w:rsid w:val="002E3A02"/>
    <w:rsid w:val="002F1B2D"/>
    <w:rsid w:val="002F41F2"/>
    <w:rsid w:val="00301BF3"/>
    <w:rsid w:val="0030208D"/>
    <w:rsid w:val="00314852"/>
    <w:rsid w:val="00323418"/>
    <w:rsid w:val="003357BF"/>
    <w:rsid w:val="003460E6"/>
    <w:rsid w:val="00364FAD"/>
    <w:rsid w:val="0036738F"/>
    <w:rsid w:val="0036759C"/>
    <w:rsid w:val="00367AE5"/>
    <w:rsid w:val="00367D71"/>
    <w:rsid w:val="0038150A"/>
    <w:rsid w:val="003A2107"/>
    <w:rsid w:val="003B6E75"/>
    <w:rsid w:val="003D0379"/>
    <w:rsid w:val="003D2574"/>
    <w:rsid w:val="003D4C59"/>
    <w:rsid w:val="003D7E7F"/>
    <w:rsid w:val="003F4267"/>
    <w:rsid w:val="00404032"/>
    <w:rsid w:val="0040736F"/>
    <w:rsid w:val="00412C1F"/>
    <w:rsid w:val="00416B20"/>
    <w:rsid w:val="00421CB2"/>
    <w:rsid w:val="004268B9"/>
    <w:rsid w:val="00433B96"/>
    <w:rsid w:val="00435ABA"/>
    <w:rsid w:val="004440F1"/>
    <w:rsid w:val="004456DD"/>
    <w:rsid w:val="00446CDF"/>
    <w:rsid w:val="004521B7"/>
    <w:rsid w:val="00462AB5"/>
    <w:rsid w:val="00463D33"/>
    <w:rsid w:val="00465EAF"/>
    <w:rsid w:val="004738C5"/>
    <w:rsid w:val="004825E6"/>
    <w:rsid w:val="00482D90"/>
    <w:rsid w:val="00491046"/>
    <w:rsid w:val="00496FAD"/>
    <w:rsid w:val="004A2AC7"/>
    <w:rsid w:val="004A5337"/>
    <w:rsid w:val="004A6D2F"/>
    <w:rsid w:val="004B348B"/>
    <w:rsid w:val="004C2887"/>
    <w:rsid w:val="004D2186"/>
    <w:rsid w:val="004D2626"/>
    <w:rsid w:val="004D6E26"/>
    <w:rsid w:val="004D77D3"/>
    <w:rsid w:val="004E2959"/>
    <w:rsid w:val="004F20EF"/>
    <w:rsid w:val="004F29DD"/>
    <w:rsid w:val="004F32D0"/>
    <w:rsid w:val="004F51BD"/>
    <w:rsid w:val="0050321C"/>
    <w:rsid w:val="00515A34"/>
    <w:rsid w:val="00536BB2"/>
    <w:rsid w:val="005425F9"/>
    <w:rsid w:val="005456A1"/>
    <w:rsid w:val="00546451"/>
    <w:rsid w:val="0054712D"/>
    <w:rsid w:val="00547EF6"/>
    <w:rsid w:val="005570B5"/>
    <w:rsid w:val="00567E18"/>
    <w:rsid w:val="0057180C"/>
    <w:rsid w:val="00575F5F"/>
    <w:rsid w:val="00581805"/>
    <w:rsid w:val="00585F76"/>
    <w:rsid w:val="005A2220"/>
    <w:rsid w:val="005A34E4"/>
    <w:rsid w:val="005A6A5E"/>
    <w:rsid w:val="005B17F2"/>
    <w:rsid w:val="005B7FB0"/>
    <w:rsid w:val="005C35A5"/>
    <w:rsid w:val="005C577C"/>
    <w:rsid w:val="005D0621"/>
    <w:rsid w:val="005D1E27"/>
    <w:rsid w:val="005D2D42"/>
    <w:rsid w:val="005E022E"/>
    <w:rsid w:val="005E5215"/>
    <w:rsid w:val="005E5AAD"/>
    <w:rsid w:val="005E6C8D"/>
    <w:rsid w:val="005F7F7E"/>
    <w:rsid w:val="0061292C"/>
    <w:rsid w:val="006134DE"/>
    <w:rsid w:val="00614693"/>
    <w:rsid w:val="00623C2F"/>
    <w:rsid w:val="00632A88"/>
    <w:rsid w:val="00633578"/>
    <w:rsid w:val="00637068"/>
    <w:rsid w:val="00650811"/>
    <w:rsid w:val="00661D3E"/>
    <w:rsid w:val="00675ADB"/>
    <w:rsid w:val="00692627"/>
    <w:rsid w:val="00693BD9"/>
    <w:rsid w:val="006969E7"/>
    <w:rsid w:val="006A1F49"/>
    <w:rsid w:val="006A3643"/>
    <w:rsid w:val="006C2A29"/>
    <w:rsid w:val="006C64CF"/>
    <w:rsid w:val="006D17B1"/>
    <w:rsid w:val="006D708A"/>
    <w:rsid w:val="006E14C1"/>
    <w:rsid w:val="006F0292"/>
    <w:rsid w:val="006F416B"/>
    <w:rsid w:val="006F519B"/>
    <w:rsid w:val="00700B55"/>
    <w:rsid w:val="0070662F"/>
    <w:rsid w:val="00707208"/>
    <w:rsid w:val="0070729A"/>
    <w:rsid w:val="00713675"/>
    <w:rsid w:val="00715823"/>
    <w:rsid w:val="007311A8"/>
    <w:rsid w:val="00737B93"/>
    <w:rsid w:val="00745BF0"/>
    <w:rsid w:val="00760B4D"/>
    <w:rsid w:val="007615FE"/>
    <w:rsid w:val="0076655C"/>
    <w:rsid w:val="007742DC"/>
    <w:rsid w:val="00791437"/>
    <w:rsid w:val="00791D0D"/>
    <w:rsid w:val="007B0C2C"/>
    <w:rsid w:val="007B278E"/>
    <w:rsid w:val="007B2EDB"/>
    <w:rsid w:val="007C1201"/>
    <w:rsid w:val="007C5C23"/>
    <w:rsid w:val="007E2A26"/>
    <w:rsid w:val="007F2348"/>
    <w:rsid w:val="00803F07"/>
    <w:rsid w:val="0080749A"/>
    <w:rsid w:val="008127D4"/>
    <w:rsid w:val="00821AAF"/>
    <w:rsid w:val="00821FB8"/>
    <w:rsid w:val="00822ACD"/>
    <w:rsid w:val="008379A2"/>
    <w:rsid w:val="00855C66"/>
    <w:rsid w:val="008629B2"/>
    <w:rsid w:val="00871EE4"/>
    <w:rsid w:val="00873CB1"/>
    <w:rsid w:val="00892B4E"/>
    <w:rsid w:val="008B293F"/>
    <w:rsid w:val="008B60C3"/>
    <w:rsid w:val="008B70A4"/>
    <w:rsid w:val="008B7371"/>
    <w:rsid w:val="008D3DDB"/>
    <w:rsid w:val="008F22F9"/>
    <w:rsid w:val="008F573F"/>
    <w:rsid w:val="009034EC"/>
    <w:rsid w:val="00906F29"/>
    <w:rsid w:val="0093067A"/>
    <w:rsid w:val="00941C60"/>
    <w:rsid w:val="009454CA"/>
    <w:rsid w:val="00966D42"/>
    <w:rsid w:val="0097088B"/>
    <w:rsid w:val="00971689"/>
    <w:rsid w:val="0097304C"/>
    <w:rsid w:val="00973E90"/>
    <w:rsid w:val="0097597D"/>
    <w:rsid w:val="00975B07"/>
    <w:rsid w:val="00980B4A"/>
    <w:rsid w:val="009C0A15"/>
    <w:rsid w:val="009E3D0A"/>
    <w:rsid w:val="009E51FC"/>
    <w:rsid w:val="009F1D28"/>
    <w:rsid w:val="009F7618"/>
    <w:rsid w:val="00A04D23"/>
    <w:rsid w:val="00A06766"/>
    <w:rsid w:val="00A123E3"/>
    <w:rsid w:val="00A13765"/>
    <w:rsid w:val="00A162BB"/>
    <w:rsid w:val="00A17BB1"/>
    <w:rsid w:val="00A21B12"/>
    <w:rsid w:val="00A22BDB"/>
    <w:rsid w:val="00A23F80"/>
    <w:rsid w:val="00A24493"/>
    <w:rsid w:val="00A35CB1"/>
    <w:rsid w:val="00A37DE7"/>
    <w:rsid w:val="00A44635"/>
    <w:rsid w:val="00A46E98"/>
    <w:rsid w:val="00A55FED"/>
    <w:rsid w:val="00A6352B"/>
    <w:rsid w:val="00A701B5"/>
    <w:rsid w:val="00A714BB"/>
    <w:rsid w:val="00A8548C"/>
    <w:rsid w:val="00A92D8F"/>
    <w:rsid w:val="00AA6376"/>
    <w:rsid w:val="00AB2988"/>
    <w:rsid w:val="00AB7999"/>
    <w:rsid w:val="00AB7D6F"/>
    <w:rsid w:val="00AD3292"/>
    <w:rsid w:val="00AE7AF0"/>
    <w:rsid w:val="00AF6A4A"/>
    <w:rsid w:val="00B02565"/>
    <w:rsid w:val="00B030F7"/>
    <w:rsid w:val="00B108A5"/>
    <w:rsid w:val="00B21AD8"/>
    <w:rsid w:val="00B21FDB"/>
    <w:rsid w:val="00B2296D"/>
    <w:rsid w:val="00B23FF2"/>
    <w:rsid w:val="00B30EC9"/>
    <w:rsid w:val="00B34B20"/>
    <w:rsid w:val="00B500CA"/>
    <w:rsid w:val="00B558E1"/>
    <w:rsid w:val="00B624EF"/>
    <w:rsid w:val="00B70A11"/>
    <w:rsid w:val="00B7799F"/>
    <w:rsid w:val="00B8184B"/>
    <w:rsid w:val="00B86314"/>
    <w:rsid w:val="00BA1C2E"/>
    <w:rsid w:val="00BC200B"/>
    <w:rsid w:val="00BC4756"/>
    <w:rsid w:val="00BC69A4"/>
    <w:rsid w:val="00BD2D03"/>
    <w:rsid w:val="00BD7D7B"/>
    <w:rsid w:val="00BE0680"/>
    <w:rsid w:val="00BE305F"/>
    <w:rsid w:val="00BE7BA3"/>
    <w:rsid w:val="00BF5682"/>
    <w:rsid w:val="00BF7B09"/>
    <w:rsid w:val="00C145C1"/>
    <w:rsid w:val="00C20A95"/>
    <w:rsid w:val="00C21663"/>
    <w:rsid w:val="00C23322"/>
    <w:rsid w:val="00C2692F"/>
    <w:rsid w:val="00C3207C"/>
    <w:rsid w:val="00C400E1"/>
    <w:rsid w:val="00C41187"/>
    <w:rsid w:val="00C41C4F"/>
    <w:rsid w:val="00C50081"/>
    <w:rsid w:val="00C57F24"/>
    <w:rsid w:val="00C63C31"/>
    <w:rsid w:val="00C757A0"/>
    <w:rsid w:val="00C760DE"/>
    <w:rsid w:val="00C82630"/>
    <w:rsid w:val="00C844F2"/>
    <w:rsid w:val="00C85B4E"/>
    <w:rsid w:val="00C907F7"/>
    <w:rsid w:val="00CA2103"/>
    <w:rsid w:val="00CA6ED8"/>
    <w:rsid w:val="00CB16D5"/>
    <w:rsid w:val="00CB6B99"/>
    <w:rsid w:val="00CD0226"/>
    <w:rsid w:val="00CD51A6"/>
    <w:rsid w:val="00CE4C87"/>
    <w:rsid w:val="00CE544A"/>
    <w:rsid w:val="00D03E61"/>
    <w:rsid w:val="00D06117"/>
    <w:rsid w:val="00D10817"/>
    <w:rsid w:val="00D11E1C"/>
    <w:rsid w:val="00D160B0"/>
    <w:rsid w:val="00D17F94"/>
    <w:rsid w:val="00D223FC"/>
    <w:rsid w:val="00D26D1E"/>
    <w:rsid w:val="00D32C13"/>
    <w:rsid w:val="00D34B50"/>
    <w:rsid w:val="00D37F61"/>
    <w:rsid w:val="00D442CD"/>
    <w:rsid w:val="00D474CF"/>
    <w:rsid w:val="00D5547E"/>
    <w:rsid w:val="00D61A0D"/>
    <w:rsid w:val="00D6683E"/>
    <w:rsid w:val="00D807B5"/>
    <w:rsid w:val="00D86378"/>
    <w:rsid w:val="00D90A28"/>
    <w:rsid w:val="00DA413F"/>
    <w:rsid w:val="00DA4584"/>
    <w:rsid w:val="00DA614B"/>
    <w:rsid w:val="00DC3060"/>
    <w:rsid w:val="00DD2FED"/>
    <w:rsid w:val="00DE0FB2"/>
    <w:rsid w:val="00DE553B"/>
    <w:rsid w:val="00DE7AA7"/>
    <w:rsid w:val="00DF093E"/>
    <w:rsid w:val="00E01F42"/>
    <w:rsid w:val="00E12D1B"/>
    <w:rsid w:val="00E152B7"/>
    <w:rsid w:val="00E206D6"/>
    <w:rsid w:val="00E3280E"/>
    <w:rsid w:val="00E3366E"/>
    <w:rsid w:val="00E52086"/>
    <w:rsid w:val="00E543A6"/>
    <w:rsid w:val="00E60479"/>
    <w:rsid w:val="00E61D73"/>
    <w:rsid w:val="00E73684"/>
    <w:rsid w:val="00E818D6"/>
    <w:rsid w:val="00E87F7A"/>
    <w:rsid w:val="00E96BD7"/>
    <w:rsid w:val="00EA0DB1"/>
    <w:rsid w:val="00EA0EE9"/>
    <w:rsid w:val="00EC1261"/>
    <w:rsid w:val="00ED2800"/>
    <w:rsid w:val="00ED52CA"/>
    <w:rsid w:val="00ED5860"/>
    <w:rsid w:val="00EE35C9"/>
    <w:rsid w:val="00EF0D59"/>
    <w:rsid w:val="00F02C39"/>
    <w:rsid w:val="00F05ECA"/>
    <w:rsid w:val="00F07BCF"/>
    <w:rsid w:val="00F33A9A"/>
    <w:rsid w:val="00F3566E"/>
    <w:rsid w:val="00F375FB"/>
    <w:rsid w:val="00F41AC1"/>
    <w:rsid w:val="00F4367A"/>
    <w:rsid w:val="00F445B1"/>
    <w:rsid w:val="00F45CD4"/>
    <w:rsid w:val="00F66DCA"/>
    <w:rsid w:val="00F67756"/>
    <w:rsid w:val="00F74F53"/>
    <w:rsid w:val="00F7606D"/>
    <w:rsid w:val="00F815E8"/>
    <w:rsid w:val="00F81670"/>
    <w:rsid w:val="00F82024"/>
    <w:rsid w:val="00F913EC"/>
    <w:rsid w:val="00F91EE3"/>
    <w:rsid w:val="00F95BC9"/>
    <w:rsid w:val="00FA026E"/>
    <w:rsid w:val="00FA078B"/>
    <w:rsid w:val="00FA624C"/>
    <w:rsid w:val="00FC7874"/>
    <w:rsid w:val="00FD0FAC"/>
    <w:rsid w:val="00FD1DFA"/>
    <w:rsid w:val="00FD4966"/>
    <w:rsid w:val="00FD5BDA"/>
    <w:rsid w:val="00FE57DC"/>
    <w:rsid w:val="00FF5F05"/>
    <w:rsid w:val="00FF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EF3C248"/>
  <w15:docId w15:val="{FDC3C324-B58C-4106-8790-F77D706F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semiHidden/>
    <w:unhideWhenUsed/>
    <w:qFormat/>
    <w:rsid w:val="00693BD9"/>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693BD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693BD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93BD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93BD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aliases w:val="F5 List Paragraph,Dot pt,No Spacing1,List Paragraph Char Char Char,Indicator Text,List Paragraph1,Colorful List - Accent 11,Numbered Para 1,Bullet 1,Bullet Points,MAIN CONTENT,List Paragraph2,List Paragraph12,Normal numbered,OBC Bullet,L"/>
    <w:basedOn w:val="Normal"/>
    <w:link w:val="ListParagraphChar"/>
    <w:uiPriority w:val="34"/>
    <w:qFormat/>
    <w:rsid w:val="005570B5"/>
    <w:pPr>
      <w:numPr>
        <w:numId w:val="14"/>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aliases w:val="F5 List Paragraph Char,Dot pt Char,No Spacing1 Char,List Paragraph Char Char Char Char,Indicator Text Char,List Paragraph1 Char,Colorful List - Accent 11 Char,Numbered Para 1 Char,Bullet 1 Char,Bullet Points Char,MAIN CONTENT Char"/>
    <w:link w:val="ListParagraph"/>
    <w:uiPriority w:val="34"/>
    <w:qFormat/>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paragraph" w:customStyle="1" w:styleId="Default">
    <w:name w:val="Default"/>
    <w:rsid w:val="000707E2"/>
    <w:pPr>
      <w:autoSpaceDE w:val="0"/>
      <w:autoSpaceDN w:val="0"/>
      <w:adjustRightInd w:val="0"/>
    </w:pPr>
    <w:rPr>
      <w:rFonts w:cs="Arial"/>
      <w:color w:val="000000"/>
      <w:sz w:val="24"/>
      <w:szCs w:val="24"/>
    </w:rPr>
  </w:style>
  <w:style w:type="character" w:customStyle="1" w:styleId="Heading3Char">
    <w:name w:val="Heading 3 Char"/>
    <w:basedOn w:val="DefaultParagraphFont"/>
    <w:link w:val="Heading3"/>
    <w:semiHidden/>
    <w:rsid w:val="00693BD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semiHidden/>
    <w:rsid w:val="00693BD9"/>
    <w:rPr>
      <w:rFonts w:asciiTheme="majorHAnsi" w:eastAsiaTheme="majorEastAsia" w:hAnsiTheme="majorHAnsi" w:cstheme="majorBidi"/>
      <w:color w:val="365F91" w:themeColor="accent1" w:themeShade="BF"/>
      <w:sz w:val="24"/>
      <w:szCs w:val="24"/>
    </w:rPr>
  </w:style>
  <w:style w:type="character" w:customStyle="1" w:styleId="Heading7Char">
    <w:name w:val="Heading 7 Char"/>
    <w:basedOn w:val="DefaultParagraphFont"/>
    <w:link w:val="Heading7"/>
    <w:semiHidden/>
    <w:rsid w:val="00693BD9"/>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693B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93BD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395519209">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7576557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976255088">
      <w:bodyDiv w:val="1"/>
      <w:marLeft w:val="0"/>
      <w:marRight w:val="0"/>
      <w:marTop w:val="0"/>
      <w:marBottom w:val="0"/>
      <w:divBdr>
        <w:top w:val="none" w:sz="0" w:space="0" w:color="auto"/>
        <w:left w:val="none" w:sz="0" w:space="0" w:color="auto"/>
        <w:bottom w:val="none" w:sz="0" w:space="0" w:color="auto"/>
        <w:right w:val="none" w:sz="0" w:space="0" w:color="auto"/>
      </w:divBdr>
    </w:div>
    <w:div w:id="20314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D7BD3E2B40EE4B99233DA35941ABA9" ma:contentTypeVersion="9" ma:contentTypeDescription="Create a new document." ma:contentTypeScope="" ma:versionID="bbe320155e91871c422fa7c27b0a5e42">
  <xsd:schema xmlns:xsd="http://www.w3.org/2001/XMLSchema" xmlns:xs="http://www.w3.org/2001/XMLSchema" xmlns:p="http://schemas.microsoft.com/office/2006/metadata/properties" xmlns:ns2="fdb8f1d2-729e-4e17-b922-d1876d49c6d9" targetNamespace="http://schemas.microsoft.com/office/2006/metadata/properties" ma:root="true" ma:fieldsID="96353179c966ef8d971ea971cc834e75" ns2:_="">
    <xsd:import namespace="fdb8f1d2-729e-4e17-b922-d1876d49c6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8f1d2-729e-4e17-b922-d1876d49c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D755B-781C-49F0-925A-074BA5E55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671D4-A290-4517-A075-401F152276BC}">
  <ds:schemaRefs>
    <ds:schemaRef ds:uri="http://schemas.openxmlformats.org/officeDocument/2006/bibliography"/>
  </ds:schemaRefs>
</ds:datastoreItem>
</file>

<file path=customXml/itemProps3.xml><?xml version="1.0" encoding="utf-8"?>
<ds:datastoreItem xmlns:ds="http://schemas.openxmlformats.org/officeDocument/2006/customXml" ds:itemID="{1756E9A0-24F9-41D3-B42B-771E24911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8f1d2-729e-4e17-b922-d1876d49c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7E460-EE8C-47E7-942A-D76782304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2433</Words>
  <Characters>13597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STEAD Matthew</cp:lastModifiedBy>
  <cp:revision>2</cp:revision>
  <cp:lastPrinted>2015-07-03T12:50:00Z</cp:lastPrinted>
  <dcterms:created xsi:type="dcterms:W3CDTF">2024-10-11T14:18:00Z</dcterms:created>
  <dcterms:modified xsi:type="dcterms:W3CDTF">2024-10-11T14:18:00Z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0x01010045D7BD3E2B40EE4B99233DA35941ABA9</vt:lpwstr>
  </property>
  <property fmtid="{D5CDD505-2E9C-101B-9397-08002B2CF9AE}" pid="3" name="GrammarlyDocumentId">
    <vt:lpwstr>b5abc3cc682658677d2195be32aa166a87daf7cc1f55adc5a01cccec6436500f</vt:lpwstr>
  </property>
</Properties>
</file>